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90D9" w14:textId="77777777" w:rsidR="00CC64DB" w:rsidRDefault="00CC64DB" w:rsidP="00CC64DB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14:paraId="26258CCE" w14:textId="77777777" w:rsidR="00CC64DB" w:rsidRDefault="00CC64DB" w:rsidP="00CC64DB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приказу</w:t>
      </w:r>
      <w:r>
        <w:rPr>
          <w:rFonts w:ascii="Arial" w:hAnsi="Arial" w:cs="Arial"/>
          <w:bCs/>
          <w:sz w:val="24"/>
          <w:szCs w:val="24"/>
        </w:rPr>
        <w:t xml:space="preserve"> от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</w:t>
      </w:r>
      <w:r>
        <w:rPr>
          <w:rFonts w:ascii="Arial" w:hAnsi="Arial" w:cs="Arial"/>
          <w:bCs/>
          <w:sz w:val="24"/>
          <w:szCs w:val="24"/>
        </w:rPr>
        <w:t xml:space="preserve"> №_______</w:t>
      </w:r>
    </w:p>
    <w:p w14:paraId="0997889D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1560B758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3A66694F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05E2DA56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6ADED887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0225913B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76414458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40E7E1DA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1AD038BF" w14:textId="77777777" w:rsidR="00EF0D64" w:rsidRPr="00DE2859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411DB4FA" w14:textId="77777777" w:rsidR="00EF0D64" w:rsidRDefault="00EF0D64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2BB4C080" w14:textId="77777777" w:rsidR="00FA467F" w:rsidRPr="00DE2859" w:rsidRDefault="00FA467F" w:rsidP="00EF0D64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5049B4A2" w14:textId="77777777" w:rsidR="00EF0D64" w:rsidRDefault="00BC7245" w:rsidP="00EF0D6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ПОЛОЖЕНИЕ</w:t>
      </w:r>
    </w:p>
    <w:p w14:paraId="36A3854A" w14:textId="77777777" w:rsidR="00EF0D64" w:rsidRPr="004D3D37" w:rsidRDefault="004D3D37" w:rsidP="004D3D37">
      <w:pPr>
        <w:jc w:val="center"/>
        <w:rPr>
          <w:rFonts w:ascii="Arial" w:hAnsi="Arial" w:cs="Arial"/>
          <w:b/>
          <w:sz w:val="24"/>
          <w:szCs w:val="24"/>
        </w:rPr>
      </w:pPr>
      <w:r w:rsidRPr="004D3D37">
        <w:rPr>
          <w:rFonts w:ascii="Arial" w:hAnsi="Arial" w:cs="Arial"/>
          <w:b/>
          <w:bCs/>
          <w:sz w:val="24"/>
          <w:szCs w:val="24"/>
        </w:rPr>
        <w:t>ОБ ОРГАНИЗАЦИИ СИСТЕМЫ ВНУТРЕННЕГО ОБЕСПЕЧЕНИЯ СООТВЕТСТВИЯ ТРЕБОВАНИЯМ АНТИМОНОПОЛЬНОГО ЗАКОНОДАТЕЛЬСТВА</w:t>
      </w:r>
      <w:r w:rsidR="00584C4C" w:rsidRPr="00584C4C">
        <w:rPr>
          <w:rFonts w:ascii="Arial" w:hAnsi="Arial" w:cs="Arial"/>
          <w:b/>
          <w:bCs/>
          <w:sz w:val="24"/>
          <w:szCs w:val="24"/>
        </w:rPr>
        <w:t xml:space="preserve"> </w:t>
      </w:r>
      <w:r w:rsidR="00584C4C" w:rsidRPr="004D3D37">
        <w:rPr>
          <w:rFonts w:ascii="Arial" w:hAnsi="Arial" w:cs="Arial"/>
          <w:b/>
          <w:bCs/>
          <w:sz w:val="24"/>
          <w:szCs w:val="24"/>
        </w:rPr>
        <w:t>В ТПУ</w:t>
      </w:r>
    </w:p>
    <w:p w14:paraId="3A3D4AF0" w14:textId="77777777" w:rsidR="00EF0D64" w:rsidRPr="00DE2859" w:rsidRDefault="00584C4C" w:rsidP="00584C4C">
      <w:pPr>
        <w:tabs>
          <w:tab w:val="left" w:pos="54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C70B7F8" w14:textId="77777777" w:rsidR="00EF0D64" w:rsidRPr="00DE2859" w:rsidRDefault="00EF0D64" w:rsidP="00EF0D6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EF0D64" w:rsidRPr="00DE2859" w14:paraId="6CAFE031" w14:textId="77777777" w:rsidTr="00BC7245">
        <w:tc>
          <w:tcPr>
            <w:tcW w:w="3114" w:type="dxa"/>
          </w:tcPr>
          <w:p w14:paraId="6B4E9CAD" w14:textId="77777777" w:rsidR="00EF0D64" w:rsidRPr="00DE2859" w:rsidRDefault="00EF0D64" w:rsidP="00BC7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859">
              <w:rPr>
                <w:rFonts w:ascii="Arial" w:hAnsi="Arial" w:cs="Arial"/>
                <w:sz w:val="24"/>
                <w:szCs w:val="24"/>
              </w:rPr>
              <w:t xml:space="preserve">Владелец документа: </w:t>
            </w:r>
          </w:p>
        </w:tc>
        <w:tc>
          <w:tcPr>
            <w:tcW w:w="6095" w:type="dxa"/>
          </w:tcPr>
          <w:p w14:paraId="41DD9527" w14:textId="77777777" w:rsidR="00EF0D64" w:rsidRPr="00BC7245" w:rsidRDefault="00BC7245" w:rsidP="00BC7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7245">
              <w:rPr>
                <w:rFonts w:ascii="Arial" w:hAnsi="Arial" w:cs="Arial"/>
                <w:sz w:val="24"/>
                <w:szCs w:val="24"/>
              </w:rPr>
              <w:t>Отдел внутреннего контроля и профилактики коррупции</w:t>
            </w:r>
          </w:p>
        </w:tc>
      </w:tr>
      <w:tr w:rsidR="00EF0D64" w:rsidRPr="00DE2859" w14:paraId="1998CE12" w14:textId="77777777" w:rsidTr="00BC7245">
        <w:tc>
          <w:tcPr>
            <w:tcW w:w="3114" w:type="dxa"/>
          </w:tcPr>
          <w:p w14:paraId="3238AEA3" w14:textId="77777777" w:rsidR="00EF0D64" w:rsidRPr="00DE2859" w:rsidRDefault="00EF0D64" w:rsidP="00BC7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859">
              <w:rPr>
                <w:rFonts w:ascii="Arial" w:hAnsi="Arial" w:cs="Arial"/>
                <w:sz w:val="24"/>
                <w:szCs w:val="24"/>
              </w:rPr>
              <w:t>Регламентируемый вид деятельности/процесс:</w:t>
            </w:r>
          </w:p>
        </w:tc>
        <w:tc>
          <w:tcPr>
            <w:tcW w:w="6095" w:type="dxa"/>
          </w:tcPr>
          <w:p w14:paraId="4390805A" w14:textId="77777777" w:rsidR="00EF0D64" w:rsidRPr="00BC7245" w:rsidRDefault="00BC7245" w:rsidP="00BC7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7245">
              <w:rPr>
                <w:rFonts w:ascii="Arial" w:hAnsi="Arial" w:cs="Arial"/>
                <w:sz w:val="24"/>
                <w:szCs w:val="24"/>
              </w:rPr>
              <w:t>Безопасность/распорядок</w:t>
            </w:r>
          </w:p>
        </w:tc>
      </w:tr>
    </w:tbl>
    <w:p w14:paraId="1626460F" w14:textId="77777777" w:rsidR="00EF0D64" w:rsidRDefault="00EF0D64" w:rsidP="00EF0D64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55A65CB" w14:textId="77777777" w:rsidR="00BC7245" w:rsidRPr="00904A0D" w:rsidRDefault="00BC7245" w:rsidP="00C30A6D">
      <w:pPr>
        <w:pStyle w:val="afa"/>
        <w:numPr>
          <w:ilvl w:val="0"/>
          <w:numId w:val="3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904A0D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08000D5E" w14:textId="77777777" w:rsidR="009D3165" w:rsidRPr="009429E8" w:rsidRDefault="00BC527C" w:rsidP="009D3165">
      <w:pPr>
        <w:pStyle w:val="23"/>
        <w:numPr>
          <w:ilvl w:val="1"/>
          <w:numId w:val="4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9D3165">
        <w:rPr>
          <w:rFonts w:ascii="Arial" w:hAnsi="Arial" w:cs="Arial"/>
          <w:sz w:val="24"/>
          <w:szCs w:val="24"/>
        </w:rPr>
        <w:t xml:space="preserve">Положение об организации системы внутреннего обеспечения соответствия требованиям антимонопольного законодательства в </w:t>
      </w:r>
      <w:r w:rsidR="00800EF5" w:rsidRPr="009D3165">
        <w:rPr>
          <w:rFonts w:ascii="Arial" w:hAnsi="Arial" w:cs="Arial"/>
          <w:sz w:val="24"/>
          <w:szCs w:val="24"/>
        </w:rPr>
        <w:t xml:space="preserve">ТПУ </w:t>
      </w:r>
      <w:r w:rsidRPr="009D3165">
        <w:rPr>
          <w:rFonts w:ascii="Arial" w:hAnsi="Arial" w:cs="Arial"/>
          <w:sz w:val="24"/>
          <w:szCs w:val="24"/>
        </w:rPr>
        <w:t xml:space="preserve">(далее </w:t>
      </w:r>
      <w:r w:rsidR="00BC4BEC" w:rsidRPr="009D3165">
        <w:rPr>
          <w:rFonts w:ascii="Arial" w:hAnsi="Arial" w:cs="Arial"/>
          <w:sz w:val="24"/>
          <w:szCs w:val="24"/>
        </w:rPr>
        <w:sym w:font="Symbol" w:char="F02D"/>
      </w:r>
      <w:r w:rsidRPr="009D3165">
        <w:rPr>
          <w:rFonts w:ascii="Arial" w:hAnsi="Arial" w:cs="Arial"/>
          <w:sz w:val="24"/>
          <w:szCs w:val="24"/>
        </w:rPr>
        <w:t xml:space="preserve"> Положение) определяет порядок организации и функционирования системы внутреннего </w:t>
      </w:r>
      <w:r w:rsidRPr="009429E8">
        <w:rPr>
          <w:rFonts w:ascii="Arial" w:hAnsi="Arial" w:cs="Arial"/>
          <w:sz w:val="24"/>
          <w:szCs w:val="24"/>
        </w:rPr>
        <w:t xml:space="preserve">обеспечения соответствия требованиям антимонопольного законодательства </w:t>
      </w:r>
      <w:r w:rsidR="00BD6A2B" w:rsidRPr="009429E8">
        <w:rPr>
          <w:rFonts w:ascii="Arial" w:hAnsi="Arial" w:cs="Arial"/>
          <w:sz w:val="24"/>
          <w:szCs w:val="24"/>
        </w:rPr>
        <w:t xml:space="preserve">(далее – антимонопольный комплаенс) </w:t>
      </w:r>
      <w:r w:rsidRPr="009429E8">
        <w:rPr>
          <w:rFonts w:ascii="Arial" w:hAnsi="Arial" w:cs="Arial"/>
          <w:sz w:val="24"/>
          <w:szCs w:val="24"/>
        </w:rPr>
        <w:t xml:space="preserve">в деятельности </w:t>
      </w:r>
      <w:r w:rsidR="00BD6A2B" w:rsidRPr="009429E8">
        <w:rPr>
          <w:rFonts w:ascii="Arial" w:hAnsi="Arial" w:cs="Arial"/>
          <w:sz w:val="24"/>
          <w:szCs w:val="24"/>
        </w:rPr>
        <w:t>федерального государственного бюджетного образовательного учреждения высшего образования «Национальный исследовательский Томский политехнический университет» (далее – ТПУ, Университет)</w:t>
      </w:r>
      <w:r w:rsidRPr="009429E8">
        <w:rPr>
          <w:rFonts w:ascii="Arial" w:hAnsi="Arial" w:cs="Arial"/>
          <w:sz w:val="24"/>
          <w:szCs w:val="24"/>
        </w:rPr>
        <w:t xml:space="preserve">. </w:t>
      </w:r>
    </w:p>
    <w:p w14:paraId="050D82DA" w14:textId="77777777" w:rsidR="00800EF5" w:rsidRPr="009D3165" w:rsidRDefault="00800EF5" w:rsidP="00C34E2E">
      <w:pPr>
        <w:pStyle w:val="23"/>
        <w:numPr>
          <w:ilvl w:val="1"/>
          <w:numId w:val="4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D3165">
        <w:rPr>
          <w:rFonts w:ascii="Arial" w:hAnsi="Arial" w:cs="Arial"/>
          <w:sz w:val="24"/>
          <w:szCs w:val="24"/>
        </w:rPr>
        <w:t xml:space="preserve">Настоящим </w:t>
      </w:r>
      <w:r w:rsidR="00BD6A2B" w:rsidRPr="009429E8">
        <w:rPr>
          <w:rFonts w:ascii="Arial" w:hAnsi="Arial" w:cs="Arial"/>
          <w:sz w:val="24"/>
          <w:szCs w:val="24"/>
        </w:rPr>
        <w:t>П</w:t>
      </w:r>
      <w:r w:rsidRPr="009D3165">
        <w:rPr>
          <w:rFonts w:ascii="Arial" w:hAnsi="Arial" w:cs="Arial"/>
          <w:sz w:val="24"/>
          <w:szCs w:val="24"/>
        </w:rPr>
        <w:t>оложением определяется порядок деятельности Комиссии по антимонопольному комплаенсу (далее – Комиссия) в соответствии с Конституцией Российской Федерации, Гражданским кодексом Российской Федерации, Федеральным законом от 26.07.2006 №</w:t>
      </w:r>
      <w:r w:rsidR="00BD6A2B" w:rsidRPr="009D3165">
        <w:rPr>
          <w:rFonts w:ascii="Arial" w:hAnsi="Arial" w:cs="Arial"/>
          <w:sz w:val="24"/>
          <w:szCs w:val="24"/>
        </w:rPr>
        <w:t xml:space="preserve"> </w:t>
      </w:r>
      <w:r w:rsidRPr="009D3165">
        <w:rPr>
          <w:rFonts w:ascii="Arial" w:hAnsi="Arial" w:cs="Arial"/>
          <w:sz w:val="24"/>
          <w:szCs w:val="24"/>
        </w:rPr>
        <w:t>135-ФЗ «О защите конкуренции».</w:t>
      </w:r>
    </w:p>
    <w:p w14:paraId="7261A568" w14:textId="77777777" w:rsidR="00800EF5" w:rsidRPr="009D3165" w:rsidRDefault="00800EF5" w:rsidP="00B6062F">
      <w:pPr>
        <w:pStyle w:val="afa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D3165">
        <w:rPr>
          <w:rFonts w:ascii="Arial" w:eastAsia="Times New Roman" w:hAnsi="Arial" w:cs="Arial"/>
          <w:sz w:val="24"/>
          <w:szCs w:val="24"/>
        </w:rPr>
        <w:t>Комиссия создается в целях осуществления оценки эффективности организации и функционирования антимонопольного комплаенса в Университете.</w:t>
      </w:r>
    </w:p>
    <w:p w14:paraId="27137A2C" w14:textId="77777777" w:rsidR="00BC7245" w:rsidRPr="002C2B1D" w:rsidRDefault="00BC7245" w:rsidP="00BC527C">
      <w:pPr>
        <w:pStyle w:val="afa"/>
        <w:tabs>
          <w:tab w:val="left" w:pos="709"/>
        </w:tabs>
        <w:ind w:left="720" w:firstLine="709"/>
        <w:jc w:val="both"/>
        <w:rPr>
          <w:rFonts w:ascii="Arial" w:hAnsi="Arial" w:cs="Arial"/>
          <w:sz w:val="24"/>
          <w:szCs w:val="24"/>
        </w:rPr>
      </w:pPr>
    </w:p>
    <w:p w14:paraId="3142B956" w14:textId="77777777" w:rsidR="00BC7245" w:rsidRPr="009F44B0" w:rsidRDefault="00BC7245" w:rsidP="00397B27">
      <w:pPr>
        <w:pStyle w:val="afa"/>
        <w:numPr>
          <w:ilvl w:val="0"/>
          <w:numId w:val="3"/>
        </w:numPr>
        <w:tabs>
          <w:tab w:val="left" w:pos="709"/>
        </w:tabs>
        <w:ind w:left="426" w:hanging="426"/>
        <w:jc w:val="center"/>
        <w:rPr>
          <w:rFonts w:ascii="Arial" w:hAnsi="Arial" w:cs="Arial"/>
          <w:sz w:val="24"/>
          <w:szCs w:val="24"/>
        </w:rPr>
      </w:pPr>
      <w:r w:rsidRPr="009F44B0">
        <w:rPr>
          <w:rFonts w:ascii="Arial" w:hAnsi="Arial" w:cs="Arial"/>
          <w:b/>
          <w:sz w:val="24"/>
          <w:szCs w:val="24"/>
        </w:rPr>
        <w:t>Основные понятия, используемые в настоящем Положении</w:t>
      </w:r>
    </w:p>
    <w:p w14:paraId="67CCD96D" w14:textId="77777777" w:rsidR="00BC527C" w:rsidRPr="00BC527C" w:rsidRDefault="00670E47" w:rsidP="007958A3">
      <w:pPr>
        <w:pStyle w:val="afa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А</w:t>
      </w:r>
      <w:r w:rsidR="00BC527C" w:rsidRPr="00647B7F">
        <w:rPr>
          <w:rFonts w:ascii="Arial" w:hAnsi="Arial" w:cs="Arial"/>
          <w:b/>
          <w:sz w:val="24"/>
          <w:szCs w:val="24"/>
          <w:lang w:bidi="ru-RU"/>
        </w:rPr>
        <w:t>нтимонопольный комплаенс</w:t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</w:t>
      </w:r>
      <w:r w:rsidR="007958A3">
        <w:rPr>
          <w:rFonts w:ascii="Arial" w:hAnsi="Arial" w:cs="Arial"/>
          <w:sz w:val="24"/>
          <w:szCs w:val="24"/>
          <w:lang w:bidi="ru-RU"/>
        </w:rPr>
        <w:sym w:font="Symbol" w:char="F02D"/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система правовых, организационно-управленческих мер, направленных на соблюдение требований антимонопольного законодательства и предупреждение его нарушения</w:t>
      </w:r>
      <w:r w:rsidR="00C34E2E">
        <w:rPr>
          <w:rFonts w:ascii="Arial" w:hAnsi="Arial" w:cs="Arial"/>
          <w:sz w:val="24"/>
          <w:szCs w:val="24"/>
          <w:lang w:bidi="ru-RU"/>
        </w:rPr>
        <w:t>.</w:t>
      </w:r>
    </w:p>
    <w:p w14:paraId="38BE2BDA" w14:textId="77777777" w:rsidR="00BC527C" w:rsidRPr="00BC527C" w:rsidRDefault="007B2F54" w:rsidP="007958A3">
      <w:pPr>
        <w:pStyle w:val="afa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А</w:t>
      </w:r>
      <w:r w:rsidR="00BC527C" w:rsidRPr="00647B7F">
        <w:rPr>
          <w:rFonts w:ascii="Arial" w:hAnsi="Arial" w:cs="Arial"/>
          <w:b/>
          <w:sz w:val="24"/>
          <w:szCs w:val="24"/>
          <w:lang w:bidi="ru-RU"/>
        </w:rPr>
        <w:t>нтимонопольное законодательство</w:t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</w:t>
      </w:r>
      <w:r w:rsidR="00647B7F">
        <w:rPr>
          <w:rFonts w:ascii="Arial" w:hAnsi="Arial" w:cs="Arial"/>
          <w:sz w:val="24"/>
          <w:szCs w:val="24"/>
          <w:lang w:bidi="ru-RU"/>
        </w:rPr>
        <w:sym w:font="Symbol" w:char="F02D"/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</w:t>
      </w:r>
      <w:proofErr w:type="spellStart"/>
      <w:r w:rsidR="00BC527C" w:rsidRPr="00BC527C">
        <w:rPr>
          <w:rFonts w:ascii="Arial" w:hAnsi="Arial" w:cs="Arial"/>
          <w:sz w:val="24"/>
          <w:szCs w:val="24"/>
          <w:lang w:bidi="ru-RU"/>
        </w:rPr>
        <w:t>законодательство</w:t>
      </w:r>
      <w:proofErr w:type="spellEnd"/>
      <w:r w:rsidR="00BC527C" w:rsidRPr="00BC527C">
        <w:rPr>
          <w:rFonts w:ascii="Arial" w:hAnsi="Arial" w:cs="Arial"/>
          <w:sz w:val="24"/>
          <w:szCs w:val="24"/>
          <w:lang w:bidi="ru-RU"/>
        </w:rPr>
        <w:t>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</w:t>
      </w:r>
      <w:r w:rsidR="004D3D37">
        <w:rPr>
          <w:rFonts w:ascii="Arial" w:hAnsi="Arial" w:cs="Arial"/>
          <w:sz w:val="24"/>
          <w:szCs w:val="24"/>
          <w:lang w:bidi="ru-RU"/>
        </w:rPr>
        <w:t>.</w:t>
      </w:r>
    </w:p>
    <w:p w14:paraId="72A50A55" w14:textId="77777777" w:rsidR="00BC527C" w:rsidRDefault="007B2F54" w:rsidP="007958A3">
      <w:pPr>
        <w:pStyle w:val="afa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А</w:t>
      </w:r>
      <w:r w:rsidR="00BC527C" w:rsidRPr="007958A3">
        <w:rPr>
          <w:rFonts w:ascii="Arial" w:hAnsi="Arial" w:cs="Arial"/>
          <w:b/>
          <w:sz w:val="24"/>
          <w:szCs w:val="24"/>
          <w:lang w:bidi="ru-RU"/>
        </w:rPr>
        <w:t>нтимонопольный орган</w:t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</w:t>
      </w:r>
      <w:r w:rsidR="007958A3">
        <w:rPr>
          <w:rFonts w:ascii="Arial" w:hAnsi="Arial" w:cs="Arial"/>
          <w:sz w:val="24"/>
          <w:szCs w:val="24"/>
          <w:lang w:bidi="ru-RU"/>
        </w:rPr>
        <w:sym w:font="Symbol" w:char="F02D"/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федеральный антимонопольный орган и его территориальные органы</w:t>
      </w:r>
      <w:r w:rsidR="004D3D37">
        <w:rPr>
          <w:rFonts w:ascii="Arial" w:hAnsi="Arial" w:cs="Arial"/>
          <w:sz w:val="24"/>
          <w:szCs w:val="24"/>
          <w:lang w:bidi="ru-RU"/>
        </w:rPr>
        <w:t>.</w:t>
      </w:r>
    </w:p>
    <w:p w14:paraId="408A4B4D" w14:textId="77777777" w:rsidR="00800EF5" w:rsidRPr="00800EF5" w:rsidRDefault="007B2F54" w:rsidP="00800EF5">
      <w:pPr>
        <w:pStyle w:val="afa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А</w:t>
      </w:r>
      <w:r w:rsidR="00800EF5" w:rsidRPr="00800EF5">
        <w:rPr>
          <w:rFonts w:ascii="Arial" w:hAnsi="Arial" w:cs="Arial"/>
          <w:b/>
          <w:sz w:val="24"/>
          <w:szCs w:val="24"/>
          <w:lang w:bidi="ru-RU"/>
        </w:rPr>
        <w:t>нтимонопольный комплаенс</w:t>
      </w:r>
      <w:r w:rsidR="00800EF5" w:rsidRPr="00800EF5">
        <w:rPr>
          <w:rFonts w:ascii="Arial" w:hAnsi="Arial" w:cs="Arial"/>
          <w:sz w:val="24"/>
          <w:szCs w:val="24"/>
          <w:lang w:bidi="ru-RU"/>
        </w:rPr>
        <w:t xml:space="preserve"> </w:t>
      </w:r>
      <w:r w:rsidR="00800EF5">
        <w:rPr>
          <w:rFonts w:ascii="Arial" w:hAnsi="Arial" w:cs="Arial"/>
          <w:sz w:val="24"/>
          <w:szCs w:val="24"/>
          <w:lang w:bidi="ru-RU"/>
        </w:rPr>
        <w:sym w:font="Symbol" w:char="F02D"/>
      </w:r>
      <w:r w:rsidR="00800EF5" w:rsidRPr="00800EF5">
        <w:rPr>
          <w:rFonts w:ascii="Arial" w:hAnsi="Arial" w:cs="Arial"/>
          <w:sz w:val="24"/>
          <w:szCs w:val="24"/>
          <w:lang w:bidi="ru-RU"/>
        </w:rPr>
        <w:t xml:space="preserve"> система внутреннего обеспечения возможности предупреждать нарушения и соответствовать требованиям антимонопольного законодательства</w:t>
      </w:r>
      <w:r w:rsidR="004D3D37">
        <w:rPr>
          <w:rFonts w:ascii="Arial" w:hAnsi="Arial" w:cs="Arial"/>
          <w:sz w:val="24"/>
          <w:szCs w:val="24"/>
          <w:lang w:bidi="ru-RU"/>
        </w:rPr>
        <w:t>.</w:t>
      </w:r>
    </w:p>
    <w:p w14:paraId="14779C85" w14:textId="77777777" w:rsidR="00800EF5" w:rsidRPr="00800EF5" w:rsidRDefault="007B2F54" w:rsidP="00800EF5">
      <w:pPr>
        <w:pStyle w:val="afa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Д</w:t>
      </w:r>
      <w:r w:rsidR="00800EF5" w:rsidRPr="00800EF5">
        <w:rPr>
          <w:rFonts w:ascii="Arial" w:hAnsi="Arial" w:cs="Arial"/>
          <w:b/>
          <w:sz w:val="24"/>
          <w:szCs w:val="24"/>
          <w:lang w:bidi="ru-RU"/>
        </w:rPr>
        <w:t>оклад по антимонопольному комплаенсу</w:t>
      </w:r>
      <w:r w:rsidR="00800EF5" w:rsidRPr="00800EF5">
        <w:rPr>
          <w:rFonts w:ascii="Arial" w:hAnsi="Arial" w:cs="Arial"/>
          <w:sz w:val="24"/>
          <w:szCs w:val="24"/>
          <w:lang w:bidi="ru-RU"/>
        </w:rPr>
        <w:t xml:space="preserve"> </w:t>
      </w:r>
      <w:r w:rsidR="00800EF5">
        <w:rPr>
          <w:rFonts w:ascii="Arial" w:hAnsi="Arial" w:cs="Arial"/>
          <w:sz w:val="24"/>
          <w:szCs w:val="24"/>
          <w:lang w:bidi="ru-RU"/>
        </w:rPr>
        <w:sym w:font="Symbol" w:char="F02D"/>
      </w:r>
      <w:r w:rsidR="00800EF5" w:rsidRPr="00800EF5">
        <w:rPr>
          <w:rFonts w:ascii="Arial" w:hAnsi="Arial" w:cs="Arial"/>
          <w:sz w:val="24"/>
          <w:szCs w:val="24"/>
          <w:lang w:bidi="ru-RU"/>
        </w:rPr>
        <w:t xml:space="preserve"> документ, содержащий информацию об организации и функционировании антимонопольного комплаенса в Университете</w:t>
      </w:r>
      <w:r w:rsidR="004D3D37">
        <w:rPr>
          <w:rFonts w:ascii="Arial" w:hAnsi="Arial" w:cs="Arial"/>
          <w:sz w:val="24"/>
          <w:szCs w:val="24"/>
          <w:lang w:bidi="ru-RU"/>
        </w:rPr>
        <w:t>.</w:t>
      </w:r>
    </w:p>
    <w:p w14:paraId="4BBC6219" w14:textId="77777777" w:rsidR="00800EF5" w:rsidRDefault="007B2F54" w:rsidP="00800EF5">
      <w:pPr>
        <w:pStyle w:val="afa"/>
        <w:tabs>
          <w:tab w:val="left" w:pos="0"/>
        </w:tabs>
        <w:ind w:firstLine="709"/>
        <w:jc w:val="both"/>
        <w:rPr>
          <w:rFonts w:ascii="Arial" w:hAnsi="Arial" w:cs="Arial"/>
          <w:b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К</w:t>
      </w:r>
      <w:r w:rsidR="00800EF5" w:rsidRPr="00800EF5">
        <w:rPr>
          <w:rFonts w:ascii="Arial" w:hAnsi="Arial" w:cs="Arial"/>
          <w:b/>
          <w:sz w:val="24"/>
          <w:szCs w:val="24"/>
          <w:lang w:bidi="ru-RU"/>
        </w:rPr>
        <w:t>оллегиальный орган</w:t>
      </w:r>
      <w:r w:rsidR="00800EF5" w:rsidRPr="00800EF5">
        <w:rPr>
          <w:rFonts w:ascii="Arial" w:hAnsi="Arial" w:cs="Arial"/>
          <w:sz w:val="24"/>
          <w:szCs w:val="24"/>
          <w:lang w:bidi="ru-RU"/>
        </w:rPr>
        <w:t xml:space="preserve"> - Комиссия по оценке эффективности системы внутреннего соответствия требованиям антимонопольного законодательства в ФГАОУ ВО НИ ТПУ</w:t>
      </w:r>
      <w:r w:rsidR="004D3D37">
        <w:rPr>
          <w:rFonts w:ascii="Arial" w:hAnsi="Arial" w:cs="Arial"/>
          <w:sz w:val="24"/>
          <w:szCs w:val="24"/>
          <w:lang w:bidi="ru-RU"/>
        </w:rPr>
        <w:t>.</w:t>
      </w:r>
    </w:p>
    <w:p w14:paraId="150C3360" w14:textId="77777777" w:rsidR="00BC527C" w:rsidRPr="00BC527C" w:rsidRDefault="007B2F54" w:rsidP="00800EF5">
      <w:pPr>
        <w:pStyle w:val="afa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Н</w:t>
      </w:r>
      <w:r w:rsidR="00BC527C" w:rsidRPr="007958A3">
        <w:rPr>
          <w:rFonts w:ascii="Arial" w:hAnsi="Arial" w:cs="Arial"/>
          <w:b/>
          <w:sz w:val="24"/>
          <w:szCs w:val="24"/>
          <w:lang w:bidi="ru-RU"/>
        </w:rPr>
        <w:t>арушение антимонопольного законодательства</w:t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</w:t>
      </w:r>
      <w:r w:rsidR="007958A3">
        <w:rPr>
          <w:rFonts w:ascii="Arial" w:hAnsi="Arial" w:cs="Arial"/>
          <w:sz w:val="24"/>
          <w:szCs w:val="24"/>
          <w:lang w:bidi="ru-RU"/>
        </w:rPr>
        <w:sym w:font="Symbol" w:char="F02D"/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недопущение, ограничение, устранение конкуренции</w:t>
      </w:r>
      <w:r w:rsidR="004D3D37">
        <w:rPr>
          <w:rFonts w:ascii="Arial" w:hAnsi="Arial" w:cs="Arial"/>
          <w:sz w:val="24"/>
          <w:szCs w:val="24"/>
          <w:lang w:bidi="ru-RU"/>
        </w:rPr>
        <w:t>.</w:t>
      </w:r>
    </w:p>
    <w:p w14:paraId="101B98A2" w14:textId="77777777" w:rsidR="00BC527C" w:rsidRPr="00BC527C" w:rsidRDefault="007B2F54" w:rsidP="007958A3">
      <w:pPr>
        <w:pStyle w:val="afa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lastRenderedPageBreak/>
        <w:t>Р</w:t>
      </w:r>
      <w:r w:rsidR="00BC527C" w:rsidRPr="007958A3">
        <w:rPr>
          <w:rFonts w:ascii="Arial" w:hAnsi="Arial" w:cs="Arial"/>
          <w:b/>
          <w:sz w:val="24"/>
          <w:szCs w:val="24"/>
          <w:lang w:bidi="ru-RU"/>
        </w:rPr>
        <w:t>иски нарушения антимонопольного законодательства (комплаенс-риски)</w:t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 </w:t>
      </w:r>
      <w:r w:rsidR="007958A3">
        <w:rPr>
          <w:rFonts w:ascii="Arial" w:hAnsi="Arial" w:cs="Arial"/>
          <w:sz w:val="24"/>
          <w:szCs w:val="24"/>
          <w:lang w:bidi="ru-RU"/>
        </w:rPr>
        <w:sym w:font="Symbol" w:char="F02D"/>
      </w:r>
      <w:r w:rsidR="007958A3">
        <w:rPr>
          <w:rFonts w:ascii="Arial" w:hAnsi="Arial" w:cs="Arial"/>
          <w:sz w:val="24"/>
          <w:szCs w:val="24"/>
          <w:lang w:bidi="ru-RU"/>
        </w:rPr>
        <w:t xml:space="preserve"> </w:t>
      </w:r>
      <w:r w:rsidR="00BC527C" w:rsidRPr="00BC527C">
        <w:rPr>
          <w:rFonts w:ascii="Arial" w:hAnsi="Arial" w:cs="Arial"/>
          <w:sz w:val="24"/>
          <w:szCs w:val="24"/>
          <w:lang w:bidi="ru-RU"/>
        </w:rPr>
        <w:t>сочетание вероятности и последствий наступления неблагоприятных событий в виде ограничения, устранения или недопущения конкуренции</w:t>
      </w:r>
      <w:r w:rsidR="00CC64DB">
        <w:rPr>
          <w:rFonts w:ascii="Arial" w:hAnsi="Arial" w:cs="Arial"/>
          <w:sz w:val="24"/>
          <w:szCs w:val="24"/>
          <w:lang w:bidi="ru-RU"/>
        </w:rPr>
        <w:t>.</w:t>
      </w:r>
    </w:p>
    <w:p w14:paraId="0DBB3F85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14:paraId="63807B6D" w14:textId="77777777" w:rsidR="00BC527C" w:rsidRPr="007958A3" w:rsidRDefault="00B6062F" w:rsidP="001B3A18">
      <w:pPr>
        <w:pStyle w:val="afa"/>
        <w:tabs>
          <w:tab w:val="left" w:pos="709"/>
        </w:tabs>
        <w:ind w:left="426" w:hanging="426"/>
        <w:jc w:val="center"/>
        <w:rPr>
          <w:rFonts w:ascii="Arial" w:hAnsi="Arial" w:cs="Arial"/>
          <w:b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3</w:t>
      </w:r>
      <w:r w:rsidR="00E61AAE" w:rsidRPr="007958A3">
        <w:rPr>
          <w:rFonts w:ascii="Arial" w:hAnsi="Arial" w:cs="Arial"/>
          <w:b/>
          <w:sz w:val="24"/>
          <w:szCs w:val="24"/>
          <w:lang w:bidi="ru-RU"/>
        </w:rPr>
        <w:t>. Организация осуществления антимонопольного комплаенса</w:t>
      </w:r>
    </w:p>
    <w:p w14:paraId="530BE195" w14:textId="77777777" w:rsidR="00BC527C" w:rsidRPr="005B0B7D" w:rsidRDefault="00B6062F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3</w:t>
      </w:r>
      <w:r w:rsidR="00BC527C" w:rsidRPr="005B0B7D">
        <w:rPr>
          <w:rFonts w:ascii="Arial" w:hAnsi="Arial" w:cs="Arial"/>
          <w:sz w:val="24"/>
          <w:szCs w:val="24"/>
          <w:lang w:bidi="ru-RU"/>
        </w:rPr>
        <w:t>.1.</w:t>
      </w:r>
      <w:r w:rsidR="00FA3299" w:rsidRPr="005B0B7D">
        <w:rPr>
          <w:rFonts w:ascii="Arial" w:hAnsi="Arial" w:cs="Arial"/>
          <w:sz w:val="24"/>
          <w:szCs w:val="24"/>
          <w:lang w:bidi="ru-RU"/>
        </w:rPr>
        <w:t> </w:t>
      </w:r>
      <w:r w:rsidR="00BC527C" w:rsidRPr="005B0B7D">
        <w:rPr>
          <w:rFonts w:ascii="Arial" w:hAnsi="Arial" w:cs="Arial"/>
          <w:sz w:val="24"/>
          <w:szCs w:val="24"/>
          <w:lang w:bidi="ru-RU"/>
        </w:rPr>
        <w:t>Общий контроль за организацией и функционированием антимонопольного комплаенса в Университете осуществляется ректором, который:</w:t>
      </w:r>
    </w:p>
    <w:p w14:paraId="09D9FAEE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а) утверждает внутренние документы Университета, регламентирующие функционирование антимонопольного комплаенса;</w:t>
      </w:r>
    </w:p>
    <w:p w14:paraId="0A7C4239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б) применяет предусмотренные законодательством Российской Федерации меры ответственности за несоблюдение работниками Университета требований Положения;</w:t>
      </w:r>
    </w:p>
    <w:p w14:paraId="5C053C4D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14:paraId="4FE74DA2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г) осуществляет контроль за устранением выявленных недостатков антимонопольного комплаенса.</w:t>
      </w:r>
    </w:p>
    <w:p w14:paraId="779A1CC2" w14:textId="77777777" w:rsidR="00BC527C" w:rsidRPr="005B0B7D" w:rsidRDefault="00B6062F" w:rsidP="00FA3299">
      <w:pPr>
        <w:pStyle w:val="afa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3</w:t>
      </w:r>
      <w:r w:rsidR="00E61AAE" w:rsidRPr="005B0B7D">
        <w:rPr>
          <w:rFonts w:ascii="Arial" w:hAnsi="Arial" w:cs="Arial"/>
          <w:sz w:val="24"/>
          <w:szCs w:val="24"/>
          <w:lang w:bidi="ru-RU"/>
        </w:rPr>
        <w:t>.2.</w:t>
      </w:r>
      <w:r w:rsidR="00FA3299" w:rsidRPr="005B0B7D">
        <w:rPr>
          <w:rFonts w:ascii="Arial" w:hAnsi="Arial" w:cs="Arial"/>
          <w:sz w:val="24"/>
          <w:szCs w:val="24"/>
          <w:lang w:bidi="ru-RU"/>
        </w:rPr>
        <w:t> </w:t>
      </w:r>
      <w:r w:rsidR="00BC527C" w:rsidRPr="005B0B7D">
        <w:rPr>
          <w:rFonts w:ascii="Arial" w:hAnsi="Arial" w:cs="Arial"/>
          <w:sz w:val="24"/>
          <w:szCs w:val="24"/>
          <w:lang w:bidi="ru-RU"/>
        </w:rPr>
        <w:t xml:space="preserve">Организация, функционирование антимонопольного комплаенса в Университете и текущий контроль за его исполнением возлагается на </w:t>
      </w:r>
      <w:r w:rsidR="009429E8">
        <w:rPr>
          <w:rFonts w:ascii="Arial" w:hAnsi="Arial" w:cs="Arial"/>
          <w:sz w:val="24"/>
          <w:szCs w:val="24"/>
          <w:lang w:bidi="ru-RU"/>
        </w:rPr>
        <w:t>о</w:t>
      </w:r>
      <w:r w:rsidR="00BC527C" w:rsidRPr="005B0B7D">
        <w:rPr>
          <w:rFonts w:ascii="Arial" w:hAnsi="Arial" w:cs="Arial"/>
          <w:sz w:val="24"/>
          <w:szCs w:val="24"/>
          <w:lang w:bidi="ru-RU"/>
        </w:rPr>
        <w:t xml:space="preserve">тдел внутреннего контроля и профилактики коррупции (далее – ОВКПК). </w:t>
      </w:r>
    </w:p>
    <w:p w14:paraId="6E4E47AB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К компетенции ОВКПК относится:</w:t>
      </w:r>
    </w:p>
    <w:p w14:paraId="4C205B70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а)</w:t>
      </w:r>
      <w:r w:rsidRPr="005B0B7D">
        <w:rPr>
          <w:rFonts w:ascii="Arial" w:hAnsi="Arial" w:cs="Arial"/>
          <w:sz w:val="24"/>
          <w:szCs w:val="24"/>
          <w:lang w:bidi="ru-RU"/>
        </w:rPr>
        <w:tab/>
        <w:t>подготовка и представление ректору внутренних документов Университета, регламентирующих процедуры антимонопольного комплаенса, в рамках установленной компетенции;</w:t>
      </w:r>
    </w:p>
    <w:p w14:paraId="1060BC52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б)</w:t>
      </w:r>
      <w:r w:rsidRPr="005B0B7D">
        <w:rPr>
          <w:rFonts w:ascii="Arial" w:hAnsi="Arial" w:cs="Arial"/>
          <w:sz w:val="24"/>
          <w:szCs w:val="24"/>
          <w:lang w:bidi="ru-RU"/>
        </w:rPr>
        <w:tab/>
        <w:t>выявление рисков нарушения антимонопольного законодательства, учет обстоятельств, связанных с их нарушением;</w:t>
      </w:r>
    </w:p>
    <w:p w14:paraId="6A254717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в) организация и участие в проведении внутренних расследований, связанных с функционированием антимонопольного комплаенса;</w:t>
      </w:r>
    </w:p>
    <w:p w14:paraId="33252B20" w14:textId="77777777" w:rsidR="00BC527C" w:rsidRPr="005B0B7D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5B0B7D">
        <w:rPr>
          <w:rFonts w:ascii="Arial" w:hAnsi="Arial" w:cs="Arial"/>
          <w:sz w:val="24"/>
          <w:szCs w:val="24"/>
          <w:lang w:bidi="ru-RU"/>
        </w:rPr>
        <w:t>г)</w:t>
      </w:r>
      <w:r w:rsidRPr="005B0B7D">
        <w:rPr>
          <w:rFonts w:ascii="Arial" w:hAnsi="Arial" w:cs="Arial"/>
          <w:sz w:val="24"/>
          <w:szCs w:val="24"/>
          <w:lang w:bidi="ru-RU"/>
        </w:rPr>
        <w:tab/>
        <w:t>консультация работников Университета по вопросам, связанным с соблюдением антимонопольного законодательства;</w:t>
      </w:r>
    </w:p>
    <w:p w14:paraId="33F44870" w14:textId="77777777" w:rsidR="00BC527C" w:rsidRP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д)</w:t>
      </w:r>
      <w:r w:rsidRPr="00BC527C">
        <w:rPr>
          <w:rFonts w:ascii="Arial" w:hAnsi="Arial" w:cs="Arial"/>
          <w:sz w:val="24"/>
          <w:szCs w:val="24"/>
          <w:lang w:bidi="ru-RU"/>
        </w:rPr>
        <w:tab/>
        <w:t>организация взаимодействия со структурными подразделениями Университета и территориальными надзорными и правоохранительными органами по вопросам, связанным с соблюдением антимонопольного комплаенса;</w:t>
      </w:r>
    </w:p>
    <w:p w14:paraId="3D8BB40C" w14:textId="77777777" w:rsidR="00BC527C" w:rsidRP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ж) взаимодействие с антимонопольным органом и организация содействия ему в части, касающейся вопросов, связанных с проводимыми проверками.</w:t>
      </w:r>
    </w:p>
    <w:p w14:paraId="33871583" w14:textId="77777777" w:rsidR="00BC527C" w:rsidRP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Структурные подразделения Университета в рамках установленной компетенции направляют в ОВКПК информацию:</w:t>
      </w:r>
    </w:p>
    <w:p w14:paraId="605124AB" w14:textId="77777777" w:rsidR="00BC527C" w:rsidRP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а) о выявленных у них нарушениях антимонопольного законодательства (наличие предостережений, предупреждений, штрафов, жалоб, возбужденных дел);</w:t>
      </w:r>
    </w:p>
    <w:p w14:paraId="23F8AB69" w14:textId="77777777" w:rsidR="00BC527C" w:rsidRP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б) о возможных рисках нарушения антимонопольного законодательства;</w:t>
      </w:r>
    </w:p>
    <w:p w14:paraId="15D49538" w14:textId="77777777" w:rsidR="00BC527C" w:rsidRP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в) о внутренних документах Университета, которые могут повлечь нарушение антимонопольного законодательства.</w:t>
      </w:r>
    </w:p>
    <w:p w14:paraId="176D300E" w14:textId="77777777" w:rsidR="00EF4937" w:rsidRDefault="00B6062F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3</w:t>
      </w:r>
      <w:r w:rsidR="00BC527C" w:rsidRPr="00BC527C">
        <w:rPr>
          <w:rFonts w:ascii="Arial" w:hAnsi="Arial" w:cs="Arial"/>
          <w:sz w:val="24"/>
          <w:szCs w:val="24"/>
          <w:lang w:bidi="ru-RU"/>
        </w:rPr>
        <w:t>.3.</w:t>
      </w:r>
      <w:r w:rsidR="00FA3299">
        <w:rPr>
          <w:rFonts w:ascii="Arial" w:hAnsi="Arial" w:cs="Arial"/>
          <w:sz w:val="24"/>
          <w:szCs w:val="24"/>
          <w:lang w:bidi="ru-RU"/>
        </w:rPr>
        <w:t> </w:t>
      </w:r>
      <w:r w:rsidR="00BC527C" w:rsidRPr="00BC527C">
        <w:rPr>
          <w:rFonts w:ascii="Arial" w:hAnsi="Arial" w:cs="Arial"/>
          <w:sz w:val="24"/>
          <w:szCs w:val="24"/>
          <w:lang w:bidi="ru-RU"/>
        </w:rPr>
        <w:t xml:space="preserve">Коллегиальным органом, осуществляющим оценку эффективности организации и функционирования антимонопольного комплаенса в Университете, является Комиссия по антимонопольному комплаенсу (далее – Комиссия). </w:t>
      </w:r>
    </w:p>
    <w:p w14:paraId="52D95117" w14:textId="77777777" w:rsidR="007B2F54" w:rsidRDefault="007B2F54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14:paraId="7608CE8C" w14:textId="77777777" w:rsidR="007B2F54" w:rsidRDefault="007B2F54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14:paraId="4AE8BFFA" w14:textId="77777777" w:rsidR="00BC527C" w:rsidRP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К функциям Комиссии относ</w:t>
      </w:r>
      <w:r w:rsidR="00EF4937">
        <w:rPr>
          <w:rFonts w:ascii="Arial" w:hAnsi="Arial" w:cs="Arial"/>
          <w:sz w:val="24"/>
          <w:szCs w:val="24"/>
          <w:lang w:bidi="ru-RU"/>
        </w:rPr>
        <w:t>я</w:t>
      </w:r>
      <w:r w:rsidRPr="00BC527C">
        <w:rPr>
          <w:rFonts w:ascii="Arial" w:hAnsi="Arial" w:cs="Arial"/>
          <w:sz w:val="24"/>
          <w:szCs w:val="24"/>
          <w:lang w:bidi="ru-RU"/>
        </w:rPr>
        <w:t>тся:</w:t>
      </w:r>
    </w:p>
    <w:p w14:paraId="5E19C20B" w14:textId="77777777" w:rsidR="00BC527C" w:rsidRP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а)</w:t>
      </w:r>
      <w:r w:rsidRPr="00BC527C">
        <w:rPr>
          <w:rFonts w:ascii="Arial" w:hAnsi="Arial" w:cs="Arial"/>
          <w:sz w:val="24"/>
          <w:szCs w:val="24"/>
          <w:lang w:bidi="ru-RU"/>
        </w:rPr>
        <w:tab/>
        <w:t>рассмотрение и оценка мероприятий Университета в части, касающейся функционирования антимонопольного комплаенса;</w:t>
      </w:r>
    </w:p>
    <w:p w14:paraId="1D36133D" w14:textId="77777777" w:rsidR="00BC527C" w:rsidRDefault="00BC527C" w:rsidP="00FA3299">
      <w:pPr>
        <w:pStyle w:val="afa"/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BC527C">
        <w:rPr>
          <w:rFonts w:ascii="Arial" w:hAnsi="Arial" w:cs="Arial"/>
          <w:sz w:val="24"/>
          <w:szCs w:val="24"/>
          <w:lang w:bidi="ru-RU"/>
        </w:rPr>
        <w:t>б)</w:t>
      </w:r>
      <w:r w:rsidRPr="00BC527C">
        <w:rPr>
          <w:rFonts w:ascii="Arial" w:hAnsi="Arial" w:cs="Arial"/>
          <w:sz w:val="24"/>
          <w:szCs w:val="24"/>
          <w:lang w:bidi="ru-RU"/>
        </w:rPr>
        <w:tab/>
        <w:t>рассмотрение и утверждение доклада ОВКПК об антимонопольном комплаенсе.</w:t>
      </w:r>
    </w:p>
    <w:p w14:paraId="3E8CCC93" w14:textId="77777777" w:rsidR="00EF4937" w:rsidRPr="00BC527C" w:rsidRDefault="00EF4937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14:paraId="3A90ECD5" w14:textId="77777777" w:rsidR="00BC527C" w:rsidRPr="00EF4937" w:rsidRDefault="00B6062F" w:rsidP="001A355D">
      <w:pPr>
        <w:pStyle w:val="afa"/>
        <w:numPr>
          <w:ilvl w:val="1"/>
          <w:numId w:val="5"/>
        </w:numPr>
        <w:tabs>
          <w:tab w:val="left" w:pos="709"/>
        </w:tabs>
        <w:ind w:firstLine="709"/>
        <w:jc w:val="center"/>
        <w:rPr>
          <w:rFonts w:ascii="Arial" w:hAnsi="Arial" w:cs="Arial"/>
          <w:b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F4937" w:rsidRPr="00EF4937">
        <w:rPr>
          <w:rFonts w:ascii="Arial" w:hAnsi="Arial" w:cs="Arial"/>
          <w:b/>
          <w:sz w:val="24"/>
          <w:szCs w:val="24"/>
        </w:rPr>
        <w:t xml:space="preserve">. </w:t>
      </w:r>
      <w:r w:rsidR="00EF4937" w:rsidRPr="00EF4937">
        <w:rPr>
          <w:rFonts w:ascii="Arial" w:hAnsi="Arial" w:cs="Arial"/>
          <w:b/>
          <w:sz w:val="24"/>
          <w:szCs w:val="24"/>
          <w:lang w:bidi="ru-RU"/>
        </w:rPr>
        <w:t>Порядок выявления и оценки рисков нарушения антимонопольного законодательства</w:t>
      </w:r>
    </w:p>
    <w:p w14:paraId="64DA8184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C527C" w:rsidRPr="00BC527C">
        <w:rPr>
          <w:rFonts w:ascii="Arial" w:hAnsi="Arial" w:cs="Arial"/>
          <w:sz w:val="24"/>
          <w:szCs w:val="24"/>
        </w:rPr>
        <w:t>.1. В целях выявления рисков нарушения антимонопольного законодательства в деятельности Университета осуществляются следующие мероприятия:</w:t>
      </w:r>
    </w:p>
    <w:p w14:paraId="2DA79280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>а) анализ выявленных нарушений антимонопольного законодательства в деятельности Университета (наличие предостережений, предупреждений, штрафов, жалоб, возбужденных дел);</w:t>
      </w:r>
    </w:p>
    <w:p w14:paraId="10AC0169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>б) мониторинг и анализ практики применения Университетом антимонопольного законодательства;</w:t>
      </w:r>
    </w:p>
    <w:p w14:paraId="31BEC282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>в) проведение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7E38B2E4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C527C" w:rsidRPr="00BC527C">
        <w:rPr>
          <w:rFonts w:ascii="Arial" w:hAnsi="Arial" w:cs="Arial"/>
          <w:sz w:val="24"/>
          <w:szCs w:val="24"/>
        </w:rPr>
        <w:t>.2</w:t>
      </w:r>
      <w:r w:rsidR="00904A0D">
        <w:rPr>
          <w:rFonts w:ascii="Arial" w:hAnsi="Arial" w:cs="Arial"/>
          <w:sz w:val="24"/>
          <w:szCs w:val="24"/>
        </w:rPr>
        <w:t>.</w:t>
      </w:r>
      <w:r w:rsidR="00BC527C" w:rsidRPr="00BC527C">
        <w:rPr>
          <w:rFonts w:ascii="Arial" w:hAnsi="Arial" w:cs="Arial"/>
          <w:sz w:val="24"/>
          <w:szCs w:val="24"/>
        </w:rPr>
        <w:t xml:space="preserve"> ОВКПК не реже одного раза в год проводит анализ выявленных нарушений антимонопольного законодательства (наличие предостережений, предупреждений, штрафов, жалоб, возбужденных дел), включающий следующие мероприятия:</w:t>
      </w:r>
    </w:p>
    <w:p w14:paraId="6033C179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>а) осуществление сбора сведений в Университете о наличии нарушений антимонопольного законодательства;</w:t>
      </w:r>
    </w:p>
    <w:p w14:paraId="3C92277C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>б) составление перечня нарушений антимонопольного законодательства в Университете, который содержит классифицированные по сферам деятельности Университета сведения о выявленных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Университетом на недопущение повторения нарушения.</w:t>
      </w:r>
    </w:p>
    <w:p w14:paraId="4E01826F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C527C" w:rsidRPr="00BC527C">
        <w:rPr>
          <w:rFonts w:ascii="Arial" w:hAnsi="Arial" w:cs="Arial"/>
          <w:sz w:val="24"/>
          <w:szCs w:val="24"/>
        </w:rPr>
        <w:t>.3</w:t>
      </w:r>
      <w:r w:rsidR="00EF4937">
        <w:rPr>
          <w:rFonts w:ascii="Arial" w:hAnsi="Arial" w:cs="Arial"/>
          <w:sz w:val="24"/>
          <w:szCs w:val="24"/>
        </w:rPr>
        <w:t>.</w:t>
      </w:r>
      <w:r w:rsidR="00BC527C" w:rsidRPr="00BC527C">
        <w:rPr>
          <w:rFonts w:ascii="Arial" w:hAnsi="Arial" w:cs="Arial"/>
          <w:sz w:val="24"/>
          <w:szCs w:val="24"/>
        </w:rPr>
        <w:t xml:space="preserve"> При выявлении рисков нарушения антимонопольного законодательства ОВКПК проводит их оценку, составляет описание рисков, в которое также включается оценка причин и условий их возникновения. </w:t>
      </w:r>
    </w:p>
    <w:p w14:paraId="2AF5B39E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C527C" w:rsidRPr="00BC527C">
        <w:rPr>
          <w:rFonts w:ascii="Arial" w:hAnsi="Arial" w:cs="Arial"/>
          <w:sz w:val="24"/>
          <w:szCs w:val="24"/>
        </w:rPr>
        <w:t>.4</w:t>
      </w:r>
      <w:r w:rsidR="00EF4937">
        <w:rPr>
          <w:rFonts w:ascii="Arial" w:hAnsi="Arial" w:cs="Arial"/>
          <w:sz w:val="24"/>
          <w:szCs w:val="24"/>
        </w:rPr>
        <w:t>.</w:t>
      </w:r>
      <w:r w:rsidR="00BC527C" w:rsidRPr="00BC527C">
        <w:rPr>
          <w:rFonts w:ascii="Arial" w:hAnsi="Arial" w:cs="Arial"/>
          <w:sz w:val="24"/>
          <w:szCs w:val="24"/>
        </w:rPr>
        <w:t xml:space="preserve"> Информация о выявлении и оценке рисков нарушения антимонопольного законодательства включается в доклад ОВКПК об антимонопольном комплаенсе.</w:t>
      </w:r>
    </w:p>
    <w:p w14:paraId="2EF87F54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14:paraId="0E398592" w14:textId="77777777" w:rsidR="00BC527C" w:rsidRPr="00A7473D" w:rsidRDefault="00B6062F" w:rsidP="001A355D">
      <w:pPr>
        <w:pStyle w:val="afa"/>
        <w:tabs>
          <w:tab w:val="left" w:pos="709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7473D" w:rsidRPr="00A7473D">
        <w:rPr>
          <w:rFonts w:ascii="Arial" w:hAnsi="Arial" w:cs="Arial"/>
          <w:b/>
          <w:sz w:val="24"/>
          <w:szCs w:val="24"/>
        </w:rPr>
        <w:t xml:space="preserve">. </w:t>
      </w:r>
      <w:r w:rsidR="007A41C1" w:rsidRPr="00A7473D">
        <w:rPr>
          <w:rFonts w:ascii="Arial" w:hAnsi="Arial" w:cs="Arial"/>
          <w:b/>
          <w:sz w:val="24"/>
          <w:szCs w:val="24"/>
        </w:rPr>
        <w:t>Меры, направленные на снижение университетом рисков нарушения антимонопольного законодательства</w:t>
      </w:r>
    </w:p>
    <w:p w14:paraId="4FC5F387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C527C" w:rsidRPr="00BC527C">
        <w:rPr>
          <w:rFonts w:ascii="Arial" w:hAnsi="Arial" w:cs="Arial"/>
          <w:sz w:val="24"/>
          <w:szCs w:val="24"/>
        </w:rPr>
        <w:t>.1</w:t>
      </w:r>
      <w:r w:rsidR="00EF4937">
        <w:rPr>
          <w:rFonts w:ascii="Arial" w:hAnsi="Arial" w:cs="Arial"/>
          <w:sz w:val="24"/>
          <w:szCs w:val="24"/>
        </w:rPr>
        <w:t>.</w:t>
      </w:r>
      <w:r w:rsidR="00BC527C" w:rsidRPr="00BC527C">
        <w:rPr>
          <w:rFonts w:ascii="Arial" w:hAnsi="Arial" w:cs="Arial"/>
          <w:sz w:val="24"/>
          <w:szCs w:val="24"/>
        </w:rPr>
        <w:t xml:space="preserve"> ОВКПК разрабатывает мероприятия по снижению рисков нарушения антимонопольного законодательства, осуществляет контроль их исполнения.</w:t>
      </w:r>
    </w:p>
    <w:p w14:paraId="781C5270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BC527C" w:rsidRPr="00BC527C">
        <w:rPr>
          <w:rFonts w:ascii="Arial" w:hAnsi="Arial" w:cs="Arial"/>
          <w:sz w:val="24"/>
          <w:szCs w:val="24"/>
        </w:rPr>
        <w:t>.2</w:t>
      </w:r>
      <w:r w:rsidR="00904A0D">
        <w:rPr>
          <w:rFonts w:ascii="Arial" w:hAnsi="Arial" w:cs="Arial"/>
          <w:sz w:val="24"/>
          <w:szCs w:val="24"/>
        </w:rPr>
        <w:t>.</w:t>
      </w:r>
      <w:r w:rsidR="00BC527C" w:rsidRPr="00BC527C">
        <w:rPr>
          <w:rFonts w:ascii="Arial" w:hAnsi="Arial" w:cs="Arial"/>
          <w:sz w:val="24"/>
          <w:szCs w:val="24"/>
        </w:rPr>
        <w:t xml:space="preserve"> Информация об исполнении мероприятий по снижению рисков нарушения антимонопольного законодательства включается в доклад ОВКПК об антимонопольном комплаенсе.</w:t>
      </w:r>
    </w:p>
    <w:p w14:paraId="71938F11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44E46D18" w14:textId="77777777" w:rsidR="00BC527C" w:rsidRPr="00BC527C" w:rsidRDefault="00B6062F" w:rsidP="001A355D">
      <w:pPr>
        <w:pStyle w:val="afa"/>
        <w:tabs>
          <w:tab w:val="left" w:pos="709"/>
        </w:tabs>
        <w:ind w:firstLine="709"/>
        <w:jc w:val="center"/>
        <w:rPr>
          <w:rFonts w:ascii="Arial" w:hAnsi="Arial" w:cs="Arial"/>
          <w:b/>
          <w:sz w:val="24"/>
          <w:szCs w:val="24"/>
          <w:lang w:bidi="ru-RU"/>
        </w:rPr>
      </w:pPr>
      <w:r>
        <w:rPr>
          <w:rFonts w:ascii="Arial" w:hAnsi="Arial" w:cs="Arial"/>
          <w:b/>
          <w:sz w:val="24"/>
          <w:szCs w:val="24"/>
          <w:lang w:bidi="ru-RU"/>
        </w:rPr>
        <w:t>6</w:t>
      </w:r>
      <w:r w:rsidR="00BC527C" w:rsidRPr="00BC527C">
        <w:rPr>
          <w:rFonts w:ascii="Arial" w:hAnsi="Arial" w:cs="Arial"/>
          <w:b/>
          <w:sz w:val="24"/>
          <w:szCs w:val="24"/>
          <w:lang w:bidi="ru-RU"/>
        </w:rPr>
        <w:t xml:space="preserve">. </w:t>
      </w:r>
      <w:r w:rsidR="00BC527C">
        <w:rPr>
          <w:rFonts w:ascii="Arial" w:hAnsi="Arial" w:cs="Arial"/>
          <w:b/>
          <w:sz w:val="24"/>
          <w:szCs w:val="24"/>
          <w:lang w:bidi="ru-RU"/>
        </w:rPr>
        <w:t>Оценка эффективности функционирования антимонопольного комплаенса</w:t>
      </w:r>
    </w:p>
    <w:p w14:paraId="0A3A1D8B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C527C" w:rsidRPr="00BC527C">
        <w:rPr>
          <w:rFonts w:ascii="Arial" w:hAnsi="Arial" w:cs="Arial"/>
          <w:sz w:val="24"/>
          <w:szCs w:val="24"/>
        </w:rPr>
        <w:t>.1</w:t>
      </w:r>
      <w:r w:rsidR="00EF4937">
        <w:rPr>
          <w:rFonts w:ascii="Arial" w:hAnsi="Arial" w:cs="Arial"/>
          <w:sz w:val="24"/>
          <w:szCs w:val="24"/>
        </w:rPr>
        <w:t>.</w:t>
      </w:r>
      <w:r w:rsidR="00BC527C" w:rsidRPr="00BC527C">
        <w:rPr>
          <w:rFonts w:ascii="Arial" w:hAnsi="Arial" w:cs="Arial"/>
          <w:sz w:val="24"/>
          <w:szCs w:val="24"/>
        </w:rPr>
        <w:t xml:space="preserve"> С целью оценки эффективности функционирования в Университете антимонопольного комплаенса устанавливаются ключевые показатели для Университета.</w:t>
      </w:r>
    </w:p>
    <w:p w14:paraId="728C1F95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C527C" w:rsidRPr="00BC527C">
        <w:rPr>
          <w:rFonts w:ascii="Arial" w:hAnsi="Arial" w:cs="Arial"/>
          <w:sz w:val="24"/>
          <w:szCs w:val="24"/>
        </w:rPr>
        <w:t>.2</w:t>
      </w:r>
      <w:r w:rsidR="00EF4937">
        <w:rPr>
          <w:rFonts w:ascii="Arial" w:hAnsi="Arial" w:cs="Arial"/>
          <w:sz w:val="24"/>
          <w:szCs w:val="24"/>
        </w:rPr>
        <w:t>.</w:t>
      </w:r>
      <w:r w:rsidR="00BC527C" w:rsidRPr="00BC527C">
        <w:rPr>
          <w:rFonts w:ascii="Arial" w:hAnsi="Arial" w:cs="Arial"/>
          <w:sz w:val="24"/>
          <w:szCs w:val="24"/>
        </w:rPr>
        <w:t xml:space="preserve"> Ключевые показатели эффективности (далее </w:t>
      </w:r>
      <w:r w:rsidR="00DE49A9">
        <w:rPr>
          <w:rFonts w:ascii="Arial" w:hAnsi="Arial" w:cs="Arial"/>
          <w:sz w:val="24"/>
          <w:szCs w:val="24"/>
        </w:rPr>
        <w:sym w:font="Symbol" w:char="F02D"/>
      </w:r>
      <w:r w:rsidR="00BC527C" w:rsidRPr="00BC527C">
        <w:rPr>
          <w:rFonts w:ascii="Arial" w:hAnsi="Arial" w:cs="Arial"/>
          <w:sz w:val="24"/>
          <w:szCs w:val="24"/>
        </w:rPr>
        <w:t xml:space="preserve"> КПЭ) функционирования в Университете антимонопольного комплаенса разрабатываются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службы </w:t>
      </w:r>
      <w:r w:rsidR="00FD127A">
        <w:rPr>
          <w:rFonts w:ascii="Arial" w:hAnsi="Arial" w:cs="Arial"/>
          <w:sz w:val="24"/>
          <w:szCs w:val="24"/>
        </w:rPr>
        <w:br/>
      </w:r>
      <w:r w:rsidR="00BC527C" w:rsidRPr="00BC527C">
        <w:rPr>
          <w:rFonts w:ascii="Arial" w:hAnsi="Arial" w:cs="Arial"/>
          <w:sz w:val="24"/>
          <w:szCs w:val="24"/>
        </w:rPr>
        <w:t>от 5 февраля 2019 г</w:t>
      </w:r>
      <w:r w:rsidR="00BC527C">
        <w:rPr>
          <w:rFonts w:ascii="Arial" w:hAnsi="Arial" w:cs="Arial"/>
          <w:sz w:val="24"/>
          <w:szCs w:val="24"/>
        </w:rPr>
        <w:t>ода</w:t>
      </w:r>
      <w:r w:rsidR="00BC527C" w:rsidRPr="00BC527C">
        <w:rPr>
          <w:rFonts w:ascii="Arial" w:hAnsi="Arial" w:cs="Arial"/>
          <w:sz w:val="24"/>
          <w:szCs w:val="24"/>
        </w:rPr>
        <w:t xml:space="preserve"> №</w:t>
      </w:r>
      <w:r w:rsidR="00FD127A">
        <w:rPr>
          <w:rFonts w:ascii="Arial" w:hAnsi="Arial" w:cs="Arial"/>
          <w:sz w:val="24"/>
          <w:szCs w:val="24"/>
        </w:rPr>
        <w:t xml:space="preserve"> </w:t>
      </w:r>
      <w:r w:rsidR="00BC527C" w:rsidRPr="00BC527C">
        <w:rPr>
          <w:rFonts w:ascii="Arial" w:hAnsi="Arial" w:cs="Arial"/>
          <w:sz w:val="24"/>
          <w:szCs w:val="24"/>
        </w:rPr>
        <w:t xml:space="preserve">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комплаенса», и утверждаются ректором. </w:t>
      </w:r>
    </w:p>
    <w:p w14:paraId="04A478EA" w14:textId="77777777" w:rsidR="00BC527C" w:rsidRDefault="00BC527C" w:rsidP="00BC527C">
      <w:pPr>
        <w:pStyle w:val="afa"/>
        <w:tabs>
          <w:tab w:val="left" w:pos="709"/>
        </w:tabs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>КПЭ рассчитываются по формуле:</w:t>
      </w:r>
    </w:p>
    <w:p w14:paraId="34BF5E22" w14:textId="77777777" w:rsidR="00BC527C" w:rsidRPr="00BC527C" w:rsidRDefault="00BC527C" w:rsidP="00B7229A">
      <w:pPr>
        <w:pStyle w:val="afa"/>
        <w:tabs>
          <w:tab w:val="left" w:pos="709"/>
        </w:tabs>
        <w:ind w:firstLine="709"/>
        <w:jc w:val="center"/>
        <w:rPr>
          <w:rFonts w:ascii="Arial" w:hAnsi="Arial" w:cs="Arial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ДСУ =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m:t>КСУ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 КСобщ </m:t>
            </m:r>
          </m:den>
        </m:f>
      </m:oMath>
      <w:r w:rsidR="00B7229A">
        <w:rPr>
          <w:rFonts w:ascii="Arial" w:eastAsiaTheme="minorEastAsia" w:hAnsi="Arial" w:cs="Arial"/>
          <w:sz w:val="26"/>
          <w:szCs w:val="26"/>
        </w:rPr>
        <w:t>,</w:t>
      </w:r>
    </w:p>
    <w:p w14:paraId="2C8B0FE0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ab/>
      </w:r>
      <w:r w:rsidRPr="00BC527C">
        <w:rPr>
          <w:rFonts w:ascii="Arial" w:hAnsi="Arial" w:cs="Arial"/>
          <w:sz w:val="24"/>
          <w:szCs w:val="24"/>
        </w:rPr>
        <w:tab/>
        <w:t xml:space="preserve">        </w:t>
      </w:r>
    </w:p>
    <w:p w14:paraId="6DECCFD3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 xml:space="preserve">где ДСУ </w:t>
      </w:r>
      <w:r w:rsidR="00FD127A" w:rsidRPr="009429E8">
        <w:rPr>
          <w:rFonts w:ascii="Arial" w:hAnsi="Arial" w:cs="Arial"/>
          <w:sz w:val="24"/>
          <w:szCs w:val="24"/>
        </w:rPr>
        <w:t>–</w:t>
      </w:r>
      <w:r w:rsidRPr="00BC527C">
        <w:rPr>
          <w:rFonts w:ascii="Arial" w:hAnsi="Arial" w:cs="Arial"/>
          <w:sz w:val="24"/>
          <w:szCs w:val="24"/>
        </w:rPr>
        <w:t xml:space="preserve"> доля </w:t>
      </w:r>
      <w:r w:rsidR="009429E8">
        <w:rPr>
          <w:rFonts w:ascii="Arial" w:hAnsi="Arial" w:cs="Arial"/>
          <w:sz w:val="24"/>
          <w:szCs w:val="24"/>
        </w:rPr>
        <w:t>работников</w:t>
      </w:r>
      <w:r w:rsidRPr="00BC527C">
        <w:rPr>
          <w:rFonts w:ascii="Arial" w:hAnsi="Arial" w:cs="Arial"/>
          <w:sz w:val="24"/>
          <w:szCs w:val="24"/>
        </w:rPr>
        <w:t xml:space="preserve"> Университета, с которыми были проведены обучающие мероприятия (ознакомление) по антимонопольному законодательству и антимонопольному комплаенсу;</w:t>
      </w:r>
    </w:p>
    <w:p w14:paraId="30EDCE7C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C527C">
        <w:rPr>
          <w:rFonts w:ascii="Arial" w:hAnsi="Arial" w:cs="Arial"/>
          <w:sz w:val="24"/>
          <w:szCs w:val="24"/>
        </w:rPr>
        <w:t xml:space="preserve">КСУ </w:t>
      </w:r>
      <w:r w:rsidR="00FD127A" w:rsidRPr="009429E8">
        <w:rPr>
          <w:rFonts w:ascii="Arial" w:hAnsi="Arial" w:cs="Arial"/>
          <w:sz w:val="24"/>
          <w:szCs w:val="24"/>
        </w:rPr>
        <w:t>–</w:t>
      </w:r>
      <w:r w:rsidRPr="00BC527C">
        <w:rPr>
          <w:rFonts w:ascii="Arial" w:hAnsi="Arial" w:cs="Arial"/>
          <w:sz w:val="24"/>
          <w:szCs w:val="24"/>
        </w:rPr>
        <w:t xml:space="preserve"> количество </w:t>
      </w:r>
      <w:r w:rsidR="009429E8">
        <w:rPr>
          <w:rFonts w:ascii="Arial" w:hAnsi="Arial" w:cs="Arial"/>
          <w:sz w:val="24"/>
          <w:szCs w:val="24"/>
        </w:rPr>
        <w:t>работников</w:t>
      </w:r>
      <w:r w:rsidRPr="00BC527C">
        <w:rPr>
          <w:rFonts w:ascii="Arial" w:hAnsi="Arial" w:cs="Arial"/>
          <w:sz w:val="24"/>
          <w:szCs w:val="24"/>
        </w:rPr>
        <w:t xml:space="preserve"> Университета, с которыми были проведены обучающие мероприятия (ознакомление) по антимонопольному законодательству и антимонопольному комплаенсу;</w:t>
      </w:r>
    </w:p>
    <w:p w14:paraId="2E173634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C527C">
        <w:rPr>
          <w:rFonts w:ascii="Arial" w:hAnsi="Arial" w:cs="Arial"/>
          <w:sz w:val="24"/>
          <w:szCs w:val="24"/>
        </w:rPr>
        <w:t>КСобщ</w:t>
      </w:r>
      <w:proofErr w:type="spellEnd"/>
      <w:r w:rsidRPr="00BC527C">
        <w:rPr>
          <w:rFonts w:ascii="Arial" w:hAnsi="Arial" w:cs="Arial"/>
          <w:sz w:val="24"/>
          <w:szCs w:val="24"/>
        </w:rPr>
        <w:t xml:space="preserve"> </w:t>
      </w:r>
      <w:r w:rsidR="00FD127A" w:rsidRPr="009429E8">
        <w:rPr>
          <w:rFonts w:ascii="Arial" w:hAnsi="Arial" w:cs="Arial"/>
          <w:sz w:val="24"/>
          <w:szCs w:val="24"/>
        </w:rPr>
        <w:t>–</w:t>
      </w:r>
      <w:r w:rsidRPr="00BC527C">
        <w:rPr>
          <w:rFonts w:ascii="Arial" w:hAnsi="Arial" w:cs="Arial"/>
          <w:sz w:val="24"/>
          <w:szCs w:val="24"/>
        </w:rPr>
        <w:t xml:space="preserve"> общее количество </w:t>
      </w:r>
      <w:r w:rsidR="009429E8">
        <w:rPr>
          <w:rFonts w:ascii="Arial" w:hAnsi="Arial" w:cs="Arial"/>
          <w:sz w:val="24"/>
          <w:szCs w:val="24"/>
        </w:rPr>
        <w:t>работников</w:t>
      </w:r>
      <w:r w:rsidRPr="00BC527C">
        <w:rPr>
          <w:rFonts w:ascii="Arial" w:hAnsi="Arial" w:cs="Arial"/>
          <w:sz w:val="24"/>
          <w:szCs w:val="24"/>
        </w:rPr>
        <w:t xml:space="preserve"> Университета,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4B87237C" w14:textId="77777777" w:rsidR="00BC527C" w:rsidRPr="00BC527C" w:rsidRDefault="00A24751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C527C" w:rsidRPr="00BC527C">
        <w:rPr>
          <w:rFonts w:ascii="Arial" w:hAnsi="Arial" w:cs="Arial"/>
          <w:sz w:val="24"/>
          <w:szCs w:val="24"/>
        </w:rPr>
        <w:t>.3</w:t>
      </w:r>
      <w:r w:rsidR="00EF4937">
        <w:rPr>
          <w:rFonts w:ascii="Arial" w:hAnsi="Arial" w:cs="Arial"/>
          <w:sz w:val="24"/>
          <w:szCs w:val="24"/>
        </w:rPr>
        <w:t>.</w:t>
      </w:r>
      <w:r w:rsidR="00BC527C" w:rsidRPr="00BC527C">
        <w:rPr>
          <w:rFonts w:ascii="Arial" w:hAnsi="Arial" w:cs="Arial"/>
          <w:sz w:val="24"/>
          <w:szCs w:val="24"/>
        </w:rPr>
        <w:t xml:space="preserve"> Не реже одного раза в год ОВКПК проводит оценку достижения ключевых показателей эффективности антимонопольного комплаенса в Университете.</w:t>
      </w:r>
    </w:p>
    <w:p w14:paraId="1A692789" w14:textId="77777777" w:rsidR="00BC527C" w:rsidRPr="00BC527C" w:rsidRDefault="00B6062F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>6</w:t>
      </w:r>
      <w:r w:rsidR="00BC527C" w:rsidRPr="00BC527C">
        <w:rPr>
          <w:rFonts w:ascii="Arial" w:hAnsi="Arial" w:cs="Arial"/>
          <w:sz w:val="24"/>
          <w:szCs w:val="24"/>
        </w:rPr>
        <w:t>.4. Информация о достижении КПЭ функционирования в Университете антимонопольного комплаенса включается в доклад ОВКПК об антимонопольном комплаенсе.</w:t>
      </w:r>
    </w:p>
    <w:p w14:paraId="4F1E844A" w14:textId="77777777" w:rsidR="00BC527C" w:rsidRPr="00BC527C" w:rsidRDefault="00BC527C" w:rsidP="00BC527C">
      <w:pPr>
        <w:pStyle w:val="afa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14:paraId="60C5FCB2" w14:textId="77777777" w:rsidR="00BD1E22" w:rsidRPr="009F44B0" w:rsidRDefault="00BD1E22" w:rsidP="00836238">
      <w:pPr>
        <w:pStyle w:val="afa"/>
        <w:numPr>
          <w:ilvl w:val="0"/>
          <w:numId w:val="12"/>
        </w:num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9F44B0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14:paraId="267C357F" w14:textId="77777777" w:rsidR="007B2F54" w:rsidRDefault="00BD1E22" w:rsidP="004C356E">
      <w:pPr>
        <w:pStyle w:val="afa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  <w:sectPr w:rsidR="007B2F54" w:rsidSect="00BC0C17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C2B1D">
        <w:rPr>
          <w:rFonts w:ascii="Arial" w:hAnsi="Arial" w:cs="Arial"/>
          <w:sz w:val="24"/>
          <w:szCs w:val="24"/>
        </w:rPr>
        <w:t>Настоящее Положение, а также изменения к нему, утвержда</w:t>
      </w:r>
      <w:r w:rsidR="00FD127A">
        <w:rPr>
          <w:rFonts w:ascii="Arial" w:hAnsi="Arial" w:cs="Arial"/>
          <w:sz w:val="24"/>
          <w:szCs w:val="24"/>
        </w:rPr>
        <w:t>ю</w:t>
      </w:r>
      <w:r w:rsidRPr="002C2B1D">
        <w:rPr>
          <w:rFonts w:ascii="Arial" w:hAnsi="Arial" w:cs="Arial"/>
          <w:sz w:val="24"/>
          <w:szCs w:val="24"/>
        </w:rPr>
        <w:t>тся ректором Университета и подлежит применению в части, не противореч</w:t>
      </w:r>
      <w:r>
        <w:rPr>
          <w:rFonts w:ascii="Arial" w:hAnsi="Arial" w:cs="Arial"/>
          <w:sz w:val="24"/>
          <w:szCs w:val="24"/>
        </w:rPr>
        <w:t xml:space="preserve">ащей законодательству Российской Федерации, Уставу </w:t>
      </w:r>
      <w:r w:rsidR="00FD127A" w:rsidRPr="009429E8">
        <w:rPr>
          <w:rFonts w:ascii="Arial" w:hAnsi="Arial" w:cs="Arial"/>
          <w:sz w:val="24"/>
          <w:szCs w:val="24"/>
        </w:rPr>
        <w:t>ТПУ</w:t>
      </w:r>
      <w:r w:rsidRPr="009429E8">
        <w:rPr>
          <w:rFonts w:ascii="Arial" w:hAnsi="Arial" w:cs="Arial"/>
          <w:sz w:val="24"/>
          <w:szCs w:val="24"/>
        </w:rPr>
        <w:t xml:space="preserve"> и иным локальным нормативным актам</w:t>
      </w:r>
      <w:r w:rsidR="00FD127A" w:rsidRPr="009429E8">
        <w:rPr>
          <w:rFonts w:ascii="Arial" w:hAnsi="Arial" w:cs="Arial"/>
          <w:sz w:val="24"/>
          <w:szCs w:val="24"/>
        </w:rPr>
        <w:t xml:space="preserve"> ТПУ</w:t>
      </w:r>
      <w:r w:rsidRPr="009429E8">
        <w:rPr>
          <w:rFonts w:ascii="Arial" w:hAnsi="Arial" w:cs="Arial"/>
          <w:sz w:val="24"/>
          <w:szCs w:val="24"/>
        </w:rPr>
        <w:t>.</w:t>
      </w:r>
    </w:p>
    <w:p w14:paraId="061D1425" w14:textId="77777777" w:rsidR="00BC0C17" w:rsidRDefault="00BC0C17" w:rsidP="00BC0C17">
      <w:pPr>
        <w:pStyle w:val="afa"/>
        <w:ind w:left="6946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249A7C1A" w14:textId="77777777" w:rsidR="00BC0C17" w:rsidRDefault="00BC0C17" w:rsidP="00BC0C17">
      <w:pPr>
        <w:pStyle w:val="afa"/>
        <w:ind w:left="6946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</w:t>
      </w:r>
    </w:p>
    <w:p w14:paraId="5597AED0" w14:textId="77777777" w:rsidR="007B2F54" w:rsidRDefault="007B2F54" w:rsidP="007B2F54">
      <w:pPr>
        <w:jc w:val="center"/>
        <w:rPr>
          <w:rFonts w:ascii="Arial" w:hAnsi="Arial" w:cs="Arial"/>
          <w:sz w:val="24"/>
          <w:szCs w:val="24"/>
        </w:rPr>
      </w:pPr>
    </w:p>
    <w:p w14:paraId="371A3256" w14:textId="77777777" w:rsidR="00CC64DB" w:rsidRPr="000B6716" w:rsidRDefault="00CC64DB" w:rsidP="007B2F54">
      <w:pPr>
        <w:jc w:val="center"/>
        <w:rPr>
          <w:rFonts w:ascii="Arial" w:hAnsi="Arial" w:cs="Arial"/>
          <w:b/>
          <w:sz w:val="24"/>
          <w:szCs w:val="24"/>
        </w:rPr>
      </w:pPr>
      <w:r w:rsidRPr="000B6716">
        <w:rPr>
          <w:rFonts w:ascii="Arial" w:hAnsi="Arial" w:cs="Arial"/>
          <w:sz w:val="24"/>
          <w:szCs w:val="24"/>
        </w:rPr>
        <w:t>КАРТА РИСКОВ</w:t>
      </w:r>
    </w:p>
    <w:p w14:paraId="0309DFBE" w14:textId="77777777" w:rsidR="00CC64DB" w:rsidRDefault="00CC64DB" w:rsidP="00CC64DB">
      <w:pPr>
        <w:ind w:left="69"/>
        <w:jc w:val="center"/>
        <w:rPr>
          <w:rFonts w:ascii="Arial" w:eastAsia="Arial" w:hAnsi="Arial" w:cs="Arial"/>
        </w:rPr>
      </w:pPr>
      <w:r w:rsidRPr="000B6716">
        <w:rPr>
          <w:rFonts w:ascii="Arial" w:eastAsia="Arial" w:hAnsi="Arial" w:cs="Arial"/>
          <w:sz w:val="24"/>
        </w:rPr>
        <w:t>соответствия требованиям антимонопольного законодательства</w:t>
      </w:r>
      <w:r w:rsidRPr="000B6716">
        <w:rPr>
          <w:rFonts w:ascii="Arial" w:eastAsia="Arial" w:hAnsi="Arial" w:cs="Arial"/>
        </w:rPr>
        <w:t xml:space="preserve"> </w:t>
      </w:r>
    </w:p>
    <w:p w14:paraId="2CD92EFA" w14:textId="77777777" w:rsidR="00BC0C17" w:rsidRPr="000B6716" w:rsidRDefault="00BC0C17" w:rsidP="00CC64DB">
      <w:pPr>
        <w:ind w:left="69"/>
        <w:jc w:val="center"/>
        <w:rPr>
          <w:rFonts w:ascii="Arial" w:hAnsi="Arial" w:cs="Arial"/>
        </w:rPr>
      </w:pPr>
    </w:p>
    <w:tbl>
      <w:tblPr>
        <w:tblStyle w:val="TableGrid"/>
        <w:tblW w:w="14591" w:type="dxa"/>
        <w:tblInd w:w="5" w:type="dxa"/>
        <w:tblLayout w:type="fixed"/>
        <w:tblCellMar>
          <w:top w:w="9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483"/>
        <w:gridCol w:w="2484"/>
        <w:gridCol w:w="5245"/>
        <w:gridCol w:w="2268"/>
        <w:gridCol w:w="1559"/>
        <w:gridCol w:w="2552"/>
      </w:tblGrid>
      <w:tr w:rsidR="00BC0C17" w:rsidRPr="00BC0C17" w14:paraId="00C0F9F4" w14:textId="77777777" w:rsidTr="007B2F54">
        <w:trPr>
          <w:trHeight w:val="127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F415" w14:textId="77777777" w:rsidR="00BC0C17" w:rsidRPr="00BC0C17" w:rsidRDefault="00BC0C17" w:rsidP="00DE3FF6">
            <w:pPr>
              <w:spacing w:after="10"/>
              <w:ind w:left="22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№</w:t>
            </w:r>
          </w:p>
          <w:p w14:paraId="50FF8A24" w14:textId="77777777" w:rsidR="00BC0C17" w:rsidRPr="00BC0C17" w:rsidRDefault="00BC0C17" w:rsidP="00DE3FF6">
            <w:pPr>
              <w:ind w:right="77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п/п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6FFA" w14:textId="77777777" w:rsidR="00BC0C17" w:rsidRPr="00BC0C17" w:rsidRDefault="00BC0C17" w:rsidP="007B2F54">
            <w:pPr>
              <w:ind w:left="406" w:right="485"/>
              <w:jc w:val="center"/>
              <w:rPr>
                <w:rFonts w:ascii="Arial" w:eastAsia="Arial" w:hAnsi="Arial" w:cs="Arial"/>
              </w:rPr>
            </w:pPr>
            <w:r w:rsidRPr="00BC0C17">
              <w:rPr>
                <w:rFonts w:ascii="Arial" w:eastAsia="Arial" w:hAnsi="Arial" w:cs="Arial"/>
              </w:rPr>
              <w:t>Риски</w:t>
            </w:r>
          </w:p>
          <w:p w14:paraId="5FCBAF0C" w14:textId="77777777" w:rsidR="00BC0C17" w:rsidRPr="00BC0C17" w:rsidRDefault="00BC0C17" w:rsidP="007B2F54">
            <w:pPr>
              <w:ind w:left="406" w:right="485"/>
              <w:jc w:val="center"/>
              <w:rPr>
                <w:rFonts w:ascii="Arial" w:eastAsia="Calibri" w:hAnsi="Arial" w:cs="Arial"/>
              </w:rPr>
            </w:pPr>
            <w:r w:rsidRPr="00BC0C17">
              <w:rPr>
                <w:rFonts w:ascii="Arial" w:eastAsia="Arial" w:hAnsi="Arial" w:cs="Arial"/>
              </w:rPr>
              <w:t>(краткое описание)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487C" w14:textId="77777777" w:rsidR="00BC0C17" w:rsidRPr="00BC0C17" w:rsidRDefault="00BC0C17" w:rsidP="007B2F54">
            <w:pPr>
              <w:ind w:right="81"/>
              <w:jc w:val="center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Причины возникновения рисков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490D1" w14:textId="77777777" w:rsidR="00BC0C17" w:rsidRPr="00BC0C17" w:rsidRDefault="00BC0C17" w:rsidP="007B2F54">
            <w:pPr>
              <w:spacing w:line="237" w:lineRule="auto"/>
              <w:jc w:val="center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Мероприятия по снижению рисков нарушения</w:t>
            </w:r>
          </w:p>
          <w:p w14:paraId="00E47E9E" w14:textId="77777777" w:rsidR="00BC0C17" w:rsidRPr="00BC0C17" w:rsidRDefault="00BC0C17" w:rsidP="007B2F54">
            <w:pPr>
              <w:jc w:val="center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антимонопольного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1AF6" w14:textId="77777777" w:rsidR="00BC0C17" w:rsidRPr="00BC0C17" w:rsidRDefault="00BC0C17" w:rsidP="007B2F54">
            <w:pPr>
              <w:ind w:right="21"/>
              <w:jc w:val="center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Уровень риска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259C" w14:textId="77777777" w:rsidR="00BC0C17" w:rsidRPr="00BC0C17" w:rsidRDefault="00BC0C17" w:rsidP="007B2F54">
            <w:pPr>
              <w:ind w:right="21"/>
              <w:jc w:val="center"/>
              <w:rPr>
                <w:rFonts w:ascii="Arial" w:eastAsia="Arial" w:hAnsi="Arial" w:cs="Arial"/>
              </w:rPr>
            </w:pPr>
            <w:r w:rsidRPr="00BC0C17">
              <w:rPr>
                <w:rFonts w:ascii="Arial" w:eastAsia="Arial" w:hAnsi="Arial" w:cs="Arial"/>
              </w:rPr>
              <w:t>Вероятность повторного</w:t>
            </w:r>
          </w:p>
          <w:p w14:paraId="0B34B99A" w14:textId="77777777" w:rsidR="00BC0C17" w:rsidRPr="00BC0C17" w:rsidRDefault="00BC0C17" w:rsidP="007B2F54">
            <w:pPr>
              <w:ind w:right="21"/>
              <w:jc w:val="center"/>
              <w:rPr>
                <w:rFonts w:ascii="Arial" w:eastAsia="Arial" w:hAnsi="Arial" w:cs="Arial"/>
              </w:rPr>
            </w:pPr>
            <w:r w:rsidRPr="00BC0C17">
              <w:rPr>
                <w:rFonts w:ascii="Arial" w:eastAsia="Arial" w:hAnsi="Arial" w:cs="Arial"/>
              </w:rPr>
              <w:t>возникновения рисков</w:t>
            </w:r>
          </w:p>
        </w:tc>
      </w:tr>
      <w:tr w:rsidR="00BC0C17" w:rsidRPr="00BC0C17" w14:paraId="476D8298" w14:textId="77777777" w:rsidTr="007B2F54">
        <w:trPr>
          <w:trHeight w:val="307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1B12E" w14:textId="77777777" w:rsidR="00BC0C17" w:rsidRPr="00BC0C17" w:rsidRDefault="00BC0C17" w:rsidP="00DE3FF6">
            <w:pPr>
              <w:ind w:left="2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D348" w14:textId="77777777" w:rsidR="00BC0C17" w:rsidRPr="00BC0C17" w:rsidRDefault="00BC0C17">
            <w:pPr>
              <w:ind w:left="2" w:right="61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Включение в описание объекта конкурентной закупки требований, которые могут повлиять на ограничение конкуренции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3E84" w14:textId="77777777" w:rsidR="00BC0C17" w:rsidRPr="00BC0C17" w:rsidRDefault="00BC0C17" w:rsidP="001A7CC8">
            <w:pPr>
              <w:spacing w:after="24" w:line="252" w:lineRule="auto"/>
              <w:ind w:right="75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- включение в описание закупки требований и указаний в отношении товарных знаков, знаков обслуживания, фирменных наименований, патентов, наименование производителя, требований к товарам, информации, работам, услугам при условии, если такие требования влекут за собой ограничение количества участников - ненадлежащая экспертиза документации о закупке - отсутствие соответствующей квалификации у ответственных должностных лиц </w:t>
            </w:r>
          </w:p>
          <w:p w14:paraId="6DEF21D5" w14:textId="77777777" w:rsidR="00BC0C17" w:rsidRPr="00BC0C17" w:rsidRDefault="00BC0C17" w:rsidP="001A7CC8">
            <w:pPr>
              <w:ind w:right="75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- профильное структурное </w:t>
            </w:r>
          </w:p>
          <w:p w14:paraId="09F1E2AA" w14:textId="77777777" w:rsidR="007B2F54" w:rsidRPr="007B2F54" w:rsidRDefault="00BC0C17" w:rsidP="007B2F54">
            <w:pPr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подразделение не включено в процесс согласования документации о закупке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5805" w14:textId="77777777" w:rsidR="00BC0C17" w:rsidRPr="00BC0C17" w:rsidRDefault="00BC0C17">
            <w:pPr>
              <w:rPr>
                <w:rFonts w:ascii="Arial" w:eastAsia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Контроль </w:t>
            </w:r>
          </w:p>
          <w:p w14:paraId="25EA7D80" w14:textId="77777777" w:rsidR="00BC0C17" w:rsidRPr="00BC0C17" w:rsidRDefault="00BC0C17">
            <w:pPr>
              <w:rPr>
                <w:rFonts w:ascii="Arial" w:eastAsia="Calibri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подготовки и использование утвержденной в ТПУ закупочной документации. </w:t>
            </w:r>
          </w:p>
          <w:p w14:paraId="2FDD6E7E" w14:textId="77777777" w:rsidR="00BC0C17" w:rsidRPr="00BC0C17" w:rsidRDefault="00BC0C17" w:rsidP="007B2F54">
            <w:pPr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Контроль за осуществлением процесса закупки.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4AD31" w14:textId="77777777" w:rsidR="00BC0C17" w:rsidRPr="00BC0C17" w:rsidRDefault="00BC0C17">
            <w:pPr>
              <w:ind w:right="85"/>
              <w:jc w:val="center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Высокий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0D56" w14:textId="77777777" w:rsidR="00BC0C17" w:rsidRPr="00BC0C17" w:rsidRDefault="00BC0C17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Низкая</w:t>
            </w:r>
          </w:p>
        </w:tc>
      </w:tr>
      <w:tr w:rsidR="00BC0C17" w:rsidRPr="00BC0C17" w14:paraId="5C152649" w14:textId="77777777" w:rsidTr="007B2F54">
        <w:trPr>
          <w:trHeight w:val="203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DFB4" w14:textId="77777777" w:rsidR="00BC0C17" w:rsidRPr="00BC0C17" w:rsidRDefault="00BC0C17" w:rsidP="00DE3FF6">
            <w:pPr>
              <w:ind w:left="2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D81B" w14:textId="77777777" w:rsidR="00BC0C17" w:rsidRPr="00BC0C17" w:rsidRDefault="00BC0C17">
            <w:pPr>
              <w:ind w:left="2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Закупка товаров (работ, услуг) у единственного поставщика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43E0" w14:textId="77777777" w:rsidR="00BC0C17" w:rsidRPr="00BC0C17" w:rsidRDefault="00BC0C17">
            <w:pPr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Конфликт интересов между инициатором закупки и потенциальным исполнителем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0A778" w14:textId="77777777" w:rsidR="00BC0C17" w:rsidRPr="00BC0C17" w:rsidRDefault="00BC0C17">
            <w:pPr>
              <w:ind w:right="4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На этапе подготовки к закупочной процедуре проверка заинтересованных лиц на аффилированность к потенциальным исполнителям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57D3" w14:textId="77777777" w:rsidR="00BC0C17" w:rsidRPr="00BC0C17" w:rsidRDefault="00BC0C17">
            <w:pPr>
              <w:ind w:right="85"/>
              <w:jc w:val="center"/>
              <w:rPr>
                <w:rFonts w:ascii="Arial" w:hAnsi="Arial" w:cs="Arial"/>
              </w:rPr>
            </w:pPr>
            <w:r w:rsidRPr="00BC0C17">
              <w:rPr>
                <w:rFonts w:ascii="Arial" w:eastAsia="Arial" w:hAnsi="Arial" w:cs="Arial"/>
              </w:rPr>
              <w:t xml:space="preserve">Низкий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FA16" w14:textId="77777777" w:rsidR="00BC0C17" w:rsidRPr="00BC0C17" w:rsidRDefault="00BC0C17">
            <w:pPr>
              <w:ind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Низкая</w:t>
            </w:r>
          </w:p>
        </w:tc>
      </w:tr>
    </w:tbl>
    <w:p w14:paraId="326AA7F2" w14:textId="77777777" w:rsidR="00CC64DB" w:rsidRPr="000B6716" w:rsidRDefault="00CC64DB" w:rsidP="00BA65C9">
      <w:pPr>
        <w:pStyle w:val="afa"/>
        <w:ind w:firstLine="709"/>
        <w:jc w:val="both"/>
        <w:rPr>
          <w:rFonts w:ascii="Arial" w:hAnsi="Arial" w:cs="Arial"/>
        </w:rPr>
      </w:pPr>
    </w:p>
    <w:sectPr w:rsidR="00CC64DB" w:rsidRPr="000B6716" w:rsidSect="00397948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4C58" w14:textId="77777777" w:rsidR="00A82A1A" w:rsidRDefault="00A82A1A" w:rsidP="004E3EAA">
      <w:r>
        <w:separator/>
      </w:r>
    </w:p>
  </w:endnote>
  <w:endnote w:type="continuationSeparator" w:id="0">
    <w:p w14:paraId="41D8AE10" w14:textId="77777777" w:rsidR="00A82A1A" w:rsidRDefault="00A82A1A" w:rsidP="004E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right"/>
      <w:textAlignment w:val="bottom"/>
    </w:pPr>
    <w:r>
      <w:drawing>
        <wp:inline distT="0" distR="0" distB="0" distL="0">
          <wp:extent cx="857250" cy="428625"/>
          <wp:docPr id="8" name="Drawing 8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right"/>
      <w:textAlignment w:val="bottom"/>
    </w:pPr>
    <w:r>
      <w:drawing>
        <wp:inline distT="0" distR="0" distB="0" distL="0">
          <wp:extent cx="857250" cy="428625"/>
          <wp:docPr id="6" name="Drawing 6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right"/>
      <w:textAlignment w:val="bottom"/>
    </w:pPr>
    <w:r>
      <w:drawing>
        <wp:inline distT="0" distR="0" distB="0" distL="0">
          <wp:extent cx="857250" cy="428625"/>
          <wp:docPr id="7" name="Drawing 7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D9CD" w14:textId="77777777" w:rsidR="00A82A1A" w:rsidRDefault="00A82A1A" w:rsidP="004E3EAA">
      <w:r>
        <w:separator/>
      </w:r>
    </w:p>
  </w:footnote>
  <w:footnote w:type="continuationSeparator" w:id="0">
    <w:p w14:paraId="54EFC7C2" w14:textId="77777777" w:rsidR="00A82A1A" w:rsidRDefault="00A82A1A" w:rsidP="004E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3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1954"/>
      <w:gridCol w:w="5592"/>
    </w:tblGrid>
    <w:tr w:rsidR="00BC7245" w:rsidRPr="00234EE0" w14:paraId="79BC438D" w14:textId="77777777" w:rsidTr="00BC7245">
      <w:trPr>
        <w:trHeight w:val="619"/>
      </w:trPr>
      <w:tc>
        <w:tcPr>
          <w:tcW w:w="762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062B7C7D" w14:textId="77777777" w:rsidR="00BC7245" w:rsidRPr="00234EE0" w:rsidRDefault="00BC7245" w:rsidP="00682798">
          <w:pPr>
            <w:tabs>
              <w:tab w:val="center" w:pos="4677"/>
              <w:tab w:val="right" w:pos="9355"/>
            </w:tabs>
            <w:spacing w:before="60"/>
            <w:jc w:val="center"/>
            <w:rPr>
              <w:bCs/>
              <w:color w:val="000000"/>
            </w:rPr>
          </w:pPr>
          <w:r>
            <w:rPr>
              <w:noProof/>
            </w:rPr>
            <w:drawing>
              <wp:inline distT="0" distB="0" distL="0" distR="0" wp14:anchorId="4837437E" wp14:editId="0B250EA5">
                <wp:extent cx="981075" cy="507015"/>
                <wp:effectExtent l="0" t="0" r="0" b="762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536DFF" w14:textId="77777777" w:rsidR="00BC7245" w:rsidRPr="00031584" w:rsidRDefault="00BC7245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031584">
            <w:rPr>
              <w:rFonts w:ascii="Arial" w:hAnsi="Arial" w:cs="Arial"/>
              <w:bCs/>
              <w:color w:val="000000"/>
              <w:sz w:val="24"/>
              <w:szCs w:val="24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4AFBE62" w14:textId="77777777" w:rsidR="00BC7245" w:rsidRPr="00031584" w:rsidRDefault="00BC7245" w:rsidP="00BC7245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bookmarkStart w:id="0" w:name="_Hlk202863777"/>
          <w:r w:rsidRPr="00031584">
            <w:rPr>
              <w:rFonts w:ascii="Arial" w:hAnsi="Arial" w:cs="Arial"/>
              <w:bCs/>
              <w:sz w:val="24"/>
              <w:szCs w:val="24"/>
            </w:rPr>
            <w:t xml:space="preserve">Положение </w:t>
          </w:r>
        </w:p>
        <w:p w14:paraId="35277AE9" w14:textId="77777777" w:rsidR="00BC527C" w:rsidRPr="00031584" w:rsidRDefault="00BC527C" w:rsidP="00BC527C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031584">
            <w:rPr>
              <w:rFonts w:ascii="Arial" w:hAnsi="Arial" w:cs="Arial"/>
              <w:bCs/>
              <w:sz w:val="24"/>
              <w:szCs w:val="24"/>
            </w:rPr>
            <w:t xml:space="preserve">об организации </w:t>
          </w:r>
        </w:p>
        <w:p w14:paraId="46A31728" w14:textId="77777777" w:rsidR="00BC7245" w:rsidRPr="00031584" w:rsidRDefault="00BC527C" w:rsidP="00BC527C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031584">
            <w:rPr>
              <w:rFonts w:ascii="Arial" w:hAnsi="Arial" w:cs="Arial"/>
              <w:bCs/>
              <w:sz w:val="24"/>
              <w:szCs w:val="24"/>
            </w:rPr>
            <w:t>системы внутреннего обеспечения соответствия требованиям антимонопольного законодательства</w:t>
          </w:r>
          <w:bookmarkEnd w:id="0"/>
          <w:r w:rsidR="00584C4C" w:rsidRPr="00031584">
            <w:rPr>
              <w:rFonts w:ascii="Arial" w:hAnsi="Arial" w:cs="Arial"/>
              <w:bCs/>
              <w:sz w:val="24"/>
              <w:szCs w:val="24"/>
            </w:rPr>
            <w:t xml:space="preserve"> в ТПУ</w:t>
          </w:r>
        </w:p>
      </w:tc>
    </w:tr>
    <w:tr w:rsidR="00BC7245" w:rsidRPr="00234EE0" w14:paraId="334803BE" w14:textId="77777777" w:rsidTr="00BC7245">
      <w:trPr>
        <w:trHeight w:val="184"/>
      </w:trPr>
      <w:tc>
        <w:tcPr>
          <w:tcW w:w="762" w:type="pct"/>
          <w:vMerge/>
          <w:tcBorders>
            <w:right w:val="single" w:sz="4" w:space="0" w:color="auto"/>
          </w:tcBorders>
        </w:tcPr>
        <w:p w14:paraId="46787940" w14:textId="77777777" w:rsidR="00BC7245" w:rsidRPr="00234EE0" w:rsidRDefault="00BC7245" w:rsidP="0068279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Arial" w:hAnsi="Arial" w:cs="Arial"/>
              <w:b/>
              <w:i/>
              <w:noProof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05E00" w14:textId="77777777" w:rsidR="00BC7245" w:rsidRPr="00031584" w:rsidRDefault="00BC7245" w:rsidP="00682798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031584">
            <w:rPr>
              <w:rFonts w:ascii="Arial" w:hAnsi="Arial" w:cs="Arial"/>
              <w:noProof/>
              <w:sz w:val="24"/>
              <w:szCs w:val="24"/>
            </w:rPr>
            <w:t xml:space="preserve">стр. </w: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031584">
            <w:rPr>
              <w:rFonts w:ascii="Arial" w:hAnsi="Arial" w:cs="Arial"/>
              <w:noProof/>
              <w:sz w:val="24"/>
              <w:szCs w:val="24"/>
            </w:rPr>
            <w:instrText xml:space="preserve"> PAGE </w:instrTex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1E6C6C">
            <w:rPr>
              <w:rFonts w:ascii="Arial" w:hAnsi="Arial" w:cs="Arial"/>
              <w:noProof/>
              <w:sz w:val="24"/>
              <w:szCs w:val="24"/>
            </w:rPr>
            <w:t>5</w: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  <w:r w:rsidRPr="00031584">
            <w:rPr>
              <w:rFonts w:ascii="Arial" w:hAnsi="Arial" w:cs="Arial"/>
              <w:noProof/>
              <w:sz w:val="24"/>
              <w:szCs w:val="24"/>
            </w:rPr>
            <w:t xml:space="preserve"> из </w: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031584">
            <w:rPr>
              <w:rFonts w:ascii="Arial" w:hAnsi="Arial" w:cs="Arial"/>
              <w:noProof/>
              <w:sz w:val="24"/>
              <w:szCs w:val="24"/>
            </w:rPr>
            <w:instrText xml:space="preserve"> NUMPAGES </w:instrTex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1E6C6C">
            <w:rPr>
              <w:rFonts w:ascii="Arial" w:hAnsi="Arial" w:cs="Arial"/>
              <w:noProof/>
              <w:sz w:val="24"/>
              <w:szCs w:val="24"/>
            </w:rPr>
            <w:t>5</w: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tc>
      <w:tc>
        <w:tcPr>
          <w:tcW w:w="309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2B2DFFE" w14:textId="77777777" w:rsidR="00BC7245" w:rsidRPr="00031584" w:rsidRDefault="00BC7245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</w:tr>
  </w:tbl>
  <w:p w14:paraId="6CC45C26" w14:textId="77777777" w:rsidR="00BC7245" w:rsidRDefault="00BC72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1941"/>
      <w:gridCol w:w="5618"/>
    </w:tblGrid>
    <w:tr w:rsidR="007B2F54" w:rsidRPr="00234EE0" w14:paraId="5669B583" w14:textId="77777777" w:rsidTr="007B2F54">
      <w:trPr>
        <w:trHeight w:val="619"/>
      </w:trPr>
      <w:tc>
        <w:tcPr>
          <w:tcW w:w="757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36C1227A" w14:textId="77777777" w:rsidR="007B2F54" w:rsidRPr="00234EE0" w:rsidRDefault="007B2F54" w:rsidP="00682798">
          <w:pPr>
            <w:tabs>
              <w:tab w:val="center" w:pos="4677"/>
              <w:tab w:val="right" w:pos="9355"/>
            </w:tabs>
            <w:spacing w:before="60"/>
            <w:jc w:val="center"/>
            <w:rPr>
              <w:bCs/>
              <w:color w:val="000000"/>
            </w:rPr>
          </w:pPr>
          <w:r>
            <w:rPr>
              <w:noProof/>
            </w:rPr>
            <w:drawing>
              <wp:inline distT="0" distB="0" distL="0" distR="0" wp14:anchorId="27AF8990" wp14:editId="143D26F1">
                <wp:extent cx="981075" cy="507015"/>
                <wp:effectExtent l="0" t="0" r="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547FAF" w14:textId="77777777" w:rsidR="007B2F54" w:rsidRPr="00031584" w:rsidRDefault="007B2F54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031584">
            <w:rPr>
              <w:rFonts w:ascii="Arial" w:hAnsi="Arial" w:cs="Arial"/>
              <w:bCs/>
              <w:color w:val="000000"/>
              <w:sz w:val="24"/>
              <w:szCs w:val="24"/>
            </w:rPr>
            <w:t>ФГАОУ ВО НИ ТПУ</w:t>
          </w:r>
        </w:p>
      </w:tc>
      <w:tc>
        <w:tcPr>
          <w:tcW w:w="310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6B31C7E" w14:textId="77777777" w:rsidR="007B2F54" w:rsidRPr="00031584" w:rsidRDefault="007B2F54" w:rsidP="00BC7245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031584">
            <w:rPr>
              <w:rFonts w:ascii="Arial" w:hAnsi="Arial" w:cs="Arial"/>
              <w:bCs/>
              <w:sz w:val="24"/>
              <w:szCs w:val="24"/>
            </w:rPr>
            <w:t xml:space="preserve">Положение </w:t>
          </w:r>
        </w:p>
        <w:p w14:paraId="2058BEEE" w14:textId="4236AD94" w:rsidR="007B2F54" w:rsidRPr="00031584" w:rsidRDefault="007B2F54" w:rsidP="00BC527C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031584">
            <w:rPr>
              <w:rFonts w:ascii="Arial" w:hAnsi="Arial" w:cs="Arial"/>
              <w:bCs/>
              <w:sz w:val="24"/>
              <w:szCs w:val="24"/>
            </w:rPr>
            <w:t xml:space="preserve">об организации </w:t>
          </w:r>
        </w:p>
        <w:p w14:paraId="07A169EF" w14:textId="179FAB35" w:rsidR="007B2F54" w:rsidRPr="00031584" w:rsidRDefault="007B2F54" w:rsidP="00BC527C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031584">
            <w:rPr>
              <w:rFonts w:ascii="Arial" w:hAnsi="Arial" w:cs="Arial"/>
              <w:bCs/>
              <w:sz w:val="24"/>
              <w:szCs w:val="24"/>
            </w:rPr>
            <w:t>системы внутреннего обеспечения соответствия требованиям антимонопольного законодательства</w:t>
          </w:r>
          <w:r w:rsidR="00DD6A2E" w:rsidRPr="00031584"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="00DD6A2E" w:rsidRPr="00031584">
            <w:rPr>
              <w:rFonts w:ascii="Arial" w:hAnsi="Arial" w:cs="Arial"/>
              <w:bCs/>
              <w:sz w:val="24"/>
              <w:szCs w:val="24"/>
            </w:rPr>
            <w:t>в ТПУ</w:t>
          </w:r>
        </w:p>
      </w:tc>
    </w:tr>
    <w:tr w:rsidR="007B2F54" w:rsidRPr="00234EE0" w14:paraId="703EA2B4" w14:textId="77777777" w:rsidTr="007B2F54">
      <w:trPr>
        <w:trHeight w:val="184"/>
      </w:trPr>
      <w:tc>
        <w:tcPr>
          <w:tcW w:w="757" w:type="pct"/>
          <w:vMerge/>
          <w:tcBorders>
            <w:right w:val="single" w:sz="4" w:space="0" w:color="auto"/>
          </w:tcBorders>
        </w:tcPr>
        <w:p w14:paraId="30654B91" w14:textId="77777777" w:rsidR="007B2F54" w:rsidRPr="00234EE0" w:rsidRDefault="007B2F54" w:rsidP="0068279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Arial" w:hAnsi="Arial" w:cs="Arial"/>
              <w:b/>
              <w:i/>
              <w:noProof/>
            </w:rPr>
          </w:pPr>
        </w:p>
      </w:tc>
      <w:tc>
        <w:tcPr>
          <w:tcW w:w="113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910BF82" w14:textId="77777777" w:rsidR="007B2F54" w:rsidRPr="00031584" w:rsidRDefault="007B2F54" w:rsidP="00682798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031584">
            <w:rPr>
              <w:rFonts w:ascii="Arial" w:hAnsi="Arial" w:cs="Arial"/>
              <w:noProof/>
              <w:sz w:val="24"/>
              <w:szCs w:val="24"/>
            </w:rPr>
            <w:t xml:space="preserve">стр. </w: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031584">
            <w:rPr>
              <w:rFonts w:ascii="Arial" w:hAnsi="Arial" w:cs="Arial"/>
              <w:noProof/>
              <w:sz w:val="24"/>
              <w:szCs w:val="24"/>
            </w:rPr>
            <w:instrText xml:space="preserve"> PAGE </w:instrTex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5</w: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  <w:r w:rsidRPr="00031584">
            <w:rPr>
              <w:rFonts w:ascii="Arial" w:hAnsi="Arial" w:cs="Arial"/>
              <w:noProof/>
              <w:sz w:val="24"/>
              <w:szCs w:val="24"/>
            </w:rPr>
            <w:t xml:space="preserve"> из </w: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031584">
            <w:rPr>
              <w:rFonts w:ascii="Arial" w:hAnsi="Arial" w:cs="Arial"/>
              <w:noProof/>
              <w:sz w:val="24"/>
              <w:szCs w:val="24"/>
            </w:rPr>
            <w:instrText xml:space="preserve"> NUMPAGES </w:instrTex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>5</w:t>
          </w:r>
          <w:r w:rsidRPr="00031584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tc>
      <w:tc>
        <w:tcPr>
          <w:tcW w:w="310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28FC327" w14:textId="77777777" w:rsidR="007B2F54" w:rsidRPr="00031584" w:rsidRDefault="007B2F54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</w:tr>
  </w:tbl>
  <w:p w14:paraId="2DF4D70B" w14:textId="77777777" w:rsidR="007B2F54" w:rsidRDefault="007B2F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F54C" w14:textId="77777777" w:rsidR="00397948" w:rsidRDefault="00397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388"/>
    <w:multiLevelType w:val="hybridMultilevel"/>
    <w:tmpl w:val="0F5CBDBE"/>
    <w:lvl w:ilvl="0" w:tplc="AD948468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60048A"/>
    <w:multiLevelType w:val="multilevel"/>
    <w:tmpl w:val="C8ECB8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67526"/>
    <w:multiLevelType w:val="multilevel"/>
    <w:tmpl w:val="03DA256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5370C0B"/>
    <w:multiLevelType w:val="hybridMultilevel"/>
    <w:tmpl w:val="45C4D434"/>
    <w:lvl w:ilvl="0" w:tplc="5BBEE49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2527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607C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E02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A9AF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3CE8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83A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2C49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6733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51E9E"/>
    <w:multiLevelType w:val="multilevel"/>
    <w:tmpl w:val="C8F6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B3773A"/>
    <w:multiLevelType w:val="multilevel"/>
    <w:tmpl w:val="74F687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664BBA"/>
    <w:multiLevelType w:val="multilevel"/>
    <w:tmpl w:val="B88E9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ADF038E"/>
    <w:multiLevelType w:val="multilevel"/>
    <w:tmpl w:val="35D6C5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56FF4237"/>
    <w:multiLevelType w:val="multilevel"/>
    <w:tmpl w:val="108AC78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27333CB"/>
    <w:multiLevelType w:val="multilevel"/>
    <w:tmpl w:val="37C01B72"/>
    <w:lvl w:ilvl="0">
      <w:start w:val="1"/>
      <w:numFmt w:val="decimal"/>
      <w:pStyle w:val="a0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  <w:i w:val="0"/>
        <w:color w:val="000000" w:themeColor="text1"/>
      </w:rPr>
    </w:lvl>
    <w:lvl w:ilvl="1">
      <w:start w:val="1"/>
      <w:numFmt w:val="decimal"/>
      <w:pStyle w:val="a1"/>
      <w:lvlText w:val="%1.%2."/>
      <w:lvlJc w:val="left"/>
      <w:pPr>
        <w:tabs>
          <w:tab w:val="num" w:pos="8087"/>
        </w:tabs>
        <w:ind w:left="8087" w:hanging="432"/>
      </w:pPr>
      <w:rPr>
        <w:rFonts w:ascii="Times New Roman" w:hAnsi="Times New Roman" w:cs="Times New Roman" w:hint="default"/>
        <w:b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b/>
        <w:i w:val="0"/>
        <w:strike w:val="0"/>
        <w:color w:val="auto"/>
        <w:sz w:val="24"/>
        <w:szCs w:val="24"/>
        <w:u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75"/>
        </w:tabs>
        <w:ind w:left="3487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10" w15:restartNumberingAfterBreak="0">
    <w:nsid w:val="646F4E7A"/>
    <w:multiLevelType w:val="multilevel"/>
    <w:tmpl w:val="B88E9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BFC639B"/>
    <w:multiLevelType w:val="multilevel"/>
    <w:tmpl w:val="A8821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22965AB"/>
    <w:multiLevelType w:val="multilevel"/>
    <w:tmpl w:val="79D6959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3857C4E"/>
    <w:multiLevelType w:val="multilevel"/>
    <w:tmpl w:val="75D0137A"/>
    <w:lvl w:ilvl="0">
      <w:start w:val="1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2"/>
  </w:num>
  <w:num w:numId="12">
    <w:abstractNumId w:val="12"/>
  </w:num>
  <w:num w:numId="13">
    <w:abstractNumId w:val="6"/>
  </w:num>
  <w:num w:numId="14">
    <w:abstractNumId w:val="3"/>
  </w:num>
  <w:num w:numId="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4C"/>
    <w:rsid w:val="00025233"/>
    <w:rsid w:val="00031584"/>
    <w:rsid w:val="00095709"/>
    <w:rsid w:val="000A1FE8"/>
    <w:rsid w:val="000B6716"/>
    <w:rsid w:val="0011060B"/>
    <w:rsid w:val="00166DB6"/>
    <w:rsid w:val="00184C7E"/>
    <w:rsid w:val="001A355D"/>
    <w:rsid w:val="001A7CC8"/>
    <w:rsid w:val="001B3A18"/>
    <w:rsid w:val="001E6C6C"/>
    <w:rsid w:val="001F6DBD"/>
    <w:rsid w:val="0022632F"/>
    <w:rsid w:val="00230F56"/>
    <w:rsid w:val="002314EF"/>
    <w:rsid w:val="00232BB1"/>
    <w:rsid w:val="002B31FB"/>
    <w:rsid w:val="002C579C"/>
    <w:rsid w:val="002C71F4"/>
    <w:rsid w:val="002D68AE"/>
    <w:rsid w:val="002F7874"/>
    <w:rsid w:val="00301887"/>
    <w:rsid w:val="00323EBD"/>
    <w:rsid w:val="00325942"/>
    <w:rsid w:val="003325C9"/>
    <w:rsid w:val="003619F0"/>
    <w:rsid w:val="003856B1"/>
    <w:rsid w:val="00397948"/>
    <w:rsid w:val="00397B27"/>
    <w:rsid w:val="00435664"/>
    <w:rsid w:val="00462253"/>
    <w:rsid w:val="004A74AC"/>
    <w:rsid w:val="004C356E"/>
    <w:rsid w:val="004D3D37"/>
    <w:rsid w:val="004E3EAA"/>
    <w:rsid w:val="0057268C"/>
    <w:rsid w:val="00584C4C"/>
    <w:rsid w:val="005B0B7D"/>
    <w:rsid w:val="005C18E6"/>
    <w:rsid w:val="00614793"/>
    <w:rsid w:val="00647B7F"/>
    <w:rsid w:val="00670E47"/>
    <w:rsid w:val="00682798"/>
    <w:rsid w:val="00696BF1"/>
    <w:rsid w:val="006B71CD"/>
    <w:rsid w:val="006D66C8"/>
    <w:rsid w:val="00740D28"/>
    <w:rsid w:val="00743938"/>
    <w:rsid w:val="00786C01"/>
    <w:rsid w:val="007958A3"/>
    <w:rsid w:val="007A41C1"/>
    <w:rsid w:val="007B2F54"/>
    <w:rsid w:val="007B56C7"/>
    <w:rsid w:val="007F74DF"/>
    <w:rsid w:val="00800EF5"/>
    <w:rsid w:val="00836238"/>
    <w:rsid w:val="008578E1"/>
    <w:rsid w:val="00904A0D"/>
    <w:rsid w:val="009429E8"/>
    <w:rsid w:val="00980305"/>
    <w:rsid w:val="009D3165"/>
    <w:rsid w:val="009F44B0"/>
    <w:rsid w:val="00A2044C"/>
    <w:rsid w:val="00A24751"/>
    <w:rsid w:val="00A7473D"/>
    <w:rsid w:val="00A82A1A"/>
    <w:rsid w:val="00AA4D98"/>
    <w:rsid w:val="00B6062F"/>
    <w:rsid w:val="00B7229A"/>
    <w:rsid w:val="00BA65C9"/>
    <w:rsid w:val="00BC0C17"/>
    <w:rsid w:val="00BC4BEC"/>
    <w:rsid w:val="00BC527C"/>
    <w:rsid w:val="00BC7245"/>
    <w:rsid w:val="00BD1E22"/>
    <w:rsid w:val="00BD6A2B"/>
    <w:rsid w:val="00C05192"/>
    <w:rsid w:val="00C06B65"/>
    <w:rsid w:val="00C30A6D"/>
    <w:rsid w:val="00C34E2E"/>
    <w:rsid w:val="00C6110D"/>
    <w:rsid w:val="00CB6B6C"/>
    <w:rsid w:val="00CC64DB"/>
    <w:rsid w:val="00D20DAB"/>
    <w:rsid w:val="00D522FF"/>
    <w:rsid w:val="00D60F64"/>
    <w:rsid w:val="00DD6A2E"/>
    <w:rsid w:val="00DE3FF6"/>
    <w:rsid w:val="00DE49A9"/>
    <w:rsid w:val="00E2665E"/>
    <w:rsid w:val="00E30A36"/>
    <w:rsid w:val="00E61AAE"/>
    <w:rsid w:val="00EA7863"/>
    <w:rsid w:val="00EB246B"/>
    <w:rsid w:val="00EF0D64"/>
    <w:rsid w:val="00EF4937"/>
    <w:rsid w:val="00F34DBF"/>
    <w:rsid w:val="00FA3299"/>
    <w:rsid w:val="00FA467F"/>
    <w:rsid w:val="00FD127A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95DE1"/>
  <w15:chartTrackingRefBased/>
  <w15:docId w15:val="{E31C1067-5B6C-4B38-AB0C-4805A8D5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E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4E3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rsid w:val="004E3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E3E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E3E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4E3E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4E3E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4E3E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4E3E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4E3EA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3"/>
    <w:link w:val="4"/>
    <w:uiPriority w:val="9"/>
    <w:rsid w:val="004E3EA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3"/>
    <w:link w:val="5"/>
    <w:uiPriority w:val="9"/>
    <w:rsid w:val="004E3E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4E3E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6">
    <w:name w:val="header"/>
    <w:basedOn w:val="a2"/>
    <w:link w:val="a7"/>
    <w:uiPriority w:val="99"/>
    <w:unhideWhenUsed/>
    <w:rsid w:val="004E3E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4E3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2"/>
    <w:link w:val="a9"/>
    <w:uiPriority w:val="99"/>
    <w:unhideWhenUsed/>
    <w:rsid w:val="004E3E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4E3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4E3EAA"/>
    <w:rPr>
      <w:color w:val="0563C1" w:themeColor="hyperlink"/>
      <w:u w:val="single"/>
    </w:rPr>
  </w:style>
  <w:style w:type="paragraph" w:styleId="ab">
    <w:name w:val="Balloon Text"/>
    <w:basedOn w:val="a2"/>
    <w:link w:val="ac"/>
    <w:uiPriority w:val="99"/>
    <w:semiHidden/>
    <w:unhideWhenUsed/>
    <w:rsid w:val="004E3E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4E3EA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4"/>
    <w:uiPriority w:val="39"/>
    <w:rsid w:val="004E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2"/>
    <w:uiPriority w:val="39"/>
    <w:unhideWhenUsed/>
    <w:qFormat/>
    <w:rsid w:val="004E3EAA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2"/>
    <w:next w:val="a2"/>
    <w:autoRedefine/>
    <w:uiPriority w:val="39"/>
    <w:unhideWhenUsed/>
    <w:rsid w:val="004E3EAA"/>
    <w:pPr>
      <w:tabs>
        <w:tab w:val="left" w:pos="660"/>
        <w:tab w:val="right" w:leader="dot" w:pos="934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2"/>
    <w:next w:val="a2"/>
    <w:autoRedefine/>
    <w:uiPriority w:val="39"/>
    <w:unhideWhenUsed/>
    <w:rsid w:val="004E3EAA"/>
    <w:pPr>
      <w:tabs>
        <w:tab w:val="left" w:pos="880"/>
        <w:tab w:val="right" w:leader="dot" w:pos="9345"/>
      </w:tabs>
      <w:ind w:left="22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2"/>
    <w:next w:val="a2"/>
    <w:autoRedefine/>
    <w:uiPriority w:val="39"/>
    <w:semiHidden/>
    <w:unhideWhenUsed/>
    <w:rsid w:val="004E3EAA"/>
    <w:pPr>
      <w:spacing w:after="100"/>
      <w:ind w:left="400"/>
    </w:pPr>
  </w:style>
  <w:style w:type="paragraph" w:styleId="af">
    <w:name w:val="List Paragraph"/>
    <w:aliases w:val="ТЗ список,Абзац списка литеральный"/>
    <w:basedOn w:val="a2"/>
    <w:link w:val="af0"/>
    <w:uiPriority w:val="99"/>
    <w:qFormat/>
    <w:rsid w:val="004E3E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Абзац списка Знак"/>
    <w:aliases w:val="ТЗ список Знак,Абзац списка литеральный Знак"/>
    <w:basedOn w:val="a3"/>
    <w:link w:val="af"/>
    <w:uiPriority w:val="99"/>
    <w:rsid w:val="004E3EAA"/>
  </w:style>
  <w:style w:type="paragraph" w:customStyle="1" w:styleId="a0">
    <w:name w:val="Раздел документа СМК"/>
    <w:basedOn w:val="a2"/>
    <w:rsid w:val="004E3EAA"/>
    <w:pPr>
      <w:numPr>
        <w:numId w:val="1"/>
      </w:numPr>
      <w:spacing w:before="120"/>
      <w:jc w:val="both"/>
    </w:pPr>
    <w:rPr>
      <w:b/>
      <w:sz w:val="24"/>
      <w:szCs w:val="24"/>
    </w:rPr>
  </w:style>
  <w:style w:type="paragraph" w:customStyle="1" w:styleId="a1">
    <w:name w:val="Подраздел документа СМК"/>
    <w:basedOn w:val="a2"/>
    <w:link w:val="af1"/>
    <w:rsid w:val="004E3EAA"/>
    <w:pPr>
      <w:numPr>
        <w:ilvl w:val="1"/>
        <w:numId w:val="1"/>
      </w:numPr>
      <w:spacing w:before="120"/>
      <w:jc w:val="both"/>
    </w:pPr>
    <w:rPr>
      <w:b/>
      <w:sz w:val="24"/>
      <w:szCs w:val="24"/>
    </w:rPr>
  </w:style>
  <w:style w:type="paragraph" w:styleId="af2">
    <w:name w:val="footnote text"/>
    <w:basedOn w:val="a2"/>
    <w:link w:val="af3"/>
    <w:semiHidden/>
    <w:unhideWhenUsed/>
    <w:rsid w:val="004E3EAA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3"/>
    <w:link w:val="af2"/>
    <w:semiHidden/>
    <w:rsid w:val="004E3EAA"/>
    <w:rPr>
      <w:sz w:val="20"/>
      <w:szCs w:val="20"/>
    </w:rPr>
  </w:style>
  <w:style w:type="character" w:styleId="af4">
    <w:name w:val="footnote reference"/>
    <w:basedOn w:val="a3"/>
    <w:semiHidden/>
    <w:unhideWhenUsed/>
    <w:rsid w:val="004E3EAA"/>
    <w:rPr>
      <w:vertAlign w:val="superscript"/>
    </w:rPr>
  </w:style>
  <w:style w:type="character" w:styleId="af5">
    <w:name w:val="annotation reference"/>
    <w:basedOn w:val="a3"/>
    <w:uiPriority w:val="99"/>
    <w:semiHidden/>
    <w:unhideWhenUsed/>
    <w:rsid w:val="004E3EAA"/>
    <w:rPr>
      <w:sz w:val="16"/>
      <w:szCs w:val="16"/>
    </w:rPr>
  </w:style>
  <w:style w:type="paragraph" w:styleId="af6">
    <w:name w:val="annotation text"/>
    <w:basedOn w:val="a2"/>
    <w:link w:val="af7"/>
    <w:uiPriority w:val="99"/>
    <w:unhideWhenUsed/>
    <w:rsid w:val="004E3EA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3"/>
    <w:link w:val="af6"/>
    <w:uiPriority w:val="99"/>
    <w:rsid w:val="004E3EA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3EA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3EAA"/>
    <w:rPr>
      <w:b/>
      <w:bCs/>
      <w:sz w:val="20"/>
      <w:szCs w:val="20"/>
    </w:rPr>
  </w:style>
  <w:style w:type="paragraph" w:styleId="afa">
    <w:name w:val="No Spacing"/>
    <w:uiPriority w:val="1"/>
    <w:qFormat/>
    <w:rsid w:val="004E3EAA"/>
    <w:pPr>
      <w:spacing w:after="0" w:line="240" w:lineRule="auto"/>
    </w:pPr>
  </w:style>
  <w:style w:type="paragraph" w:styleId="afb">
    <w:name w:val="Normal Indent"/>
    <w:basedOn w:val="a2"/>
    <w:rsid w:val="004E3EAA"/>
    <w:pPr>
      <w:keepLines/>
      <w:spacing w:line="360" w:lineRule="auto"/>
      <w:ind w:firstLine="737"/>
      <w:jc w:val="both"/>
    </w:pPr>
    <w:rPr>
      <w:rFonts w:ascii="Arial" w:hAnsi="Arial"/>
      <w:sz w:val="24"/>
      <w:lang w:eastAsia="en-US"/>
    </w:rPr>
  </w:style>
  <w:style w:type="character" w:styleId="afc">
    <w:name w:val="FollowedHyperlink"/>
    <w:basedOn w:val="a3"/>
    <w:uiPriority w:val="99"/>
    <w:semiHidden/>
    <w:unhideWhenUsed/>
    <w:rsid w:val="004E3EAA"/>
    <w:rPr>
      <w:color w:val="954F72" w:themeColor="followedHyperlink"/>
      <w:u w:val="single"/>
    </w:rPr>
  </w:style>
  <w:style w:type="character" w:customStyle="1" w:styleId="af1">
    <w:name w:val="Подраздел документа СМК Знак"/>
    <w:link w:val="a1"/>
    <w:rsid w:val="004E3EA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2">
    <w:name w:val="Основной текст Знак1"/>
    <w:basedOn w:val="a3"/>
    <w:uiPriority w:val="99"/>
    <w:rsid w:val="004E3EAA"/>
    <w:rPr>
      <w:rFonts w:ascii="Arial" w:hAnsi="Arial" w:cs="Arial"/>
      <w:sz w:val="20"/>
      <w:szCs w:val="20"/>
      <w:shd w:val="clear" w:color="auto" w:fill="FFFFFF"/>
    </w:rPr>
  </w:style>
  <w:style w:type="paragraph" w:customStyle="1" w:styleId="13">
    <w:name w:val="Обычный1"/>
    <w:rsid w:val="00EF0D64"/>
    <w:pPr>
      <w:widowControl w:val="0"/>
      <w:snapToGrid w:val="0"/>
      <w:spacing w:before="880" w:after="0" w:line="480" w:lineRule="auto"/>
      <w:ind w:left="800" w:right="400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d">
    <w:name w:val="Обычный с отступом"/>
    <w:basedOn w:val="a2"/>
    <w:qFormat/>
    <w:rsid w:val="00EF0D64"/>
    <w:pPr>
      <w:ind w:firstLine="737"/>
      <w:jc w:val="both"/>
    </w:pPr>
    <w:rPr>
      <w:rFonts w:asciiTheme="minorHAnsi" w:eastAsiaTheme="minorHAnsi"/>
      <w:color w:val="000000"/>
      <w:sz w:val="24"/>
      <w:szCs w:val="24"/>
      <w:lang w:eastAsia="en-US"/>
    </w:rPr>
  </w:style>
  <w:style w:type="paragraph" w:customStyle="1" w:styleId="headertext">
    <w:name w:val="headertext"/>
    <w:basedOn w:val="a2"/>
    <w:rsid w:val="00EF0D6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EF0D64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_Текст"/>
    <w:basedOn w:val="a2"/>
    <w:link w:val="aff"/>
    <w:qFormat/>
    <w:rsid w:val="00EF0D64"/>
    <w:pPr>
      <w:suppressAutoHyphens/>
      <w:spacing w:line="360" w:lineRule="auto"/>
      <w:jc w:val="both"/>
    </w:pPr>
    <w:rPr>
      <w:sz w:val="24"/>
      <w:szCs w:val="24"/>
    </w:rPr>
  </w:style>
  <w:style w:type="character" w:customStyle="1" w:styleId="aff">
    <w:name w:val="_Текст Знак"/>
    <w:link w:val="afe"/>
    <w:rsid w:val="00EF0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список"/>
    <w:basedOn w:val="a2"/>
    <w:link w:val="aff0"/>
    <w:qFormat/>
    <w:rsid w:val="00EF0D64"/>
    <w:pPr>
      <w:numPr>
        <w:numId w:val="2"/>
      </w:numPr>
      <w:tabs>
        <w:tab w:val="left" w:pos="1134"/>
      </w:tabs>
      <w:suppressAutoHyphens/>
      <w:spacing w:line="360" w:lineRule="auto"/>
      <w:ind w:left="0" w:firstLine="567"/>
      <w:jc w:val="both"/>
    </w:pPr>
    <w:rPr>
      <w:sz w:val="24"/>
      <w:szCs w:val="24"/>
    </w:rPr>
  </w:style>
  <w:style w:type="character" w:customStyle="1" w:styleId="aff0">
    <w:name w:val="_список Знак"/>
    <w:basedOn w:val="aff"/>
    <w:link w:val="a"/>
    <w:rsid w:val="00EF0D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3"/>
    <w:link w:val="23"/>
    <w:rsid w:val="00BC52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2"/>
    <w:link w:val="22"/>
    <w:rsid w:val="00BC527C"/>
    <w:pPr>
      <w:widowControl w:val="0"/>
      <w:shd w:val="clear" w:color="auto" w:fill="FFFFFF"/>
      <w:spacing w:after="180" w:line="338" w:lineRule="exact"/>
      <w:jc w:val="center"/>
    </w:pPr>
    <w:rPr>
      <w:sz w:val="28"/>
      <w:szCs w:val="28"/>
      <w:lang w:eastAsia="en-US"/>
    </w:rPr>
  </w:style>
  <w:style w:type="character" w:styleId="aff1">
    <w:name w:val="Placeholder Text"/>
    <w:basedOn w:val="a3"/>
    <w:uiPriority w:val="99"/>
    <w:semiHidden/>
    <w:rsid w:val="00BC527C"/>
    <w:rPr>
      <w:color w:val="808080"/>
    </w:rPr>
  </w:style>
  <w:style w:type="table" w:customStyle="1" w:styleId="TableGrid">
    <w:name w:val="TableGrid"/>
    <w:rsid w:val="009429E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foot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footer3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0C540-9D65-4797-A38F-971270AA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2025-07-24T10:05:00Z</dcterms:created>
  <dc:creator>Яблокова София Александровна</dc:creator>
  <cp:lastModifiedBy>Унжакова Татьяна Владимировна</cp:lastModifiedBy>
  <dcterms:modified xsi:type="dcterms:W3CDTF">2025-07-24T10:05:00Z</dcterms:modified>
  <cp:revision>2</cp:revision>
</cp:coreProperties>
</file>