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770E1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770E1F">
        <w:rPr>
          <w:rFonts w:ascii="Arial" w:hAnsi="Arial" w:cs="Arial"/>
          <w:b w:val="0"/>
          <w:bCs w:val="0"/>
          <w:color w:val="auto"/>
          <w:sz w:val="24"/>
          <w:szCs w:val="24"/>
        </w:rPr>
        <w:t>8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770E1F">
        <w:rPr>
          <w:rFonts w:ascii="Arial" w:hAnsi="Arial" w:cs="Arial"/>
          <w:b w:val="0"/>
          <w:bCs w:val="0"/>
          <w:color w:val="auto"/>
          <w:sz w:val="24"/>
          <w:szCs w:val="24"/>
        </w:rPr>
        <w:t>8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770E1F">
        <w:rPr>
          <w:rFonts w:ascii="Arial" w:hAnsi="Arial" w:cs="Arial"/>
          <w:b w:val="0"/>
          <w:color w:val="000000" w:themeColor="text1"/>
          <w:sz w:val="24"/>
          <w:szCs w:val="24"/>
        </w:rPr>
        <w:t>8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770E1F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A0769" w:rsidRPr="00C637BE" w:rsidRDefault="007042FF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770E1F" w:rsidRPr="00770E1F">
              <w:rPr>
                <w:rFonts w:ascii="Arial" w:hAnsi="Arial" w:cs="Arial"/>
                <w:sz w:val="24"/>
                <w:szCs w:val="24"/>
              </w:rPr>
              <w:t>ул. Усова, 7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г. Томск, ул. Советская, 73 стр.1</w:t>
            </w:r>
          </w:p>
        </w:tc>
        <w:tc>
          <w:tcPr>
            <w:tcW w:w="2807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Учебно-лабораторный корпус № 19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9A" w:rsidRDefault="00EC329A" w:rsidP="00496EF6">
      <w:pPr>
        <w:spacing w:after="0" w:line="240" w:lineRule="auto"/>
      </w:pPr>
      <w:r>
        <w:separator/>
      </w:r>
    </w:p>
  </w:endnote>
  <w:endnote w:type="continuationSeparator" w:id="0">
    <w:p w:rsidR="00EC329A" w:rsidRDefault="00EC329A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9A" w:rsidRDefault="00EC329A" w:rsidP="00496EF6">
      <w:pPr>
        <w:spacing w:after="0" w:line="240" w:lineRule="auto"/>
      </w:pPr>
      <w:r>
        <w:separator/>
      </w:r>
    </w:p>
  </w:footnote>
  <w:footnote w:type="continuationSeparator" w:id="0">
    <w:p w:rsidR="00EC329A" w:rsidRDefault="00EC329A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70E1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770E1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8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70E1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70E1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70E1F"/>
    <w:rsid w:val="007A2C0A"/>
    <w:rsid w:val="008731EC"/>
    <w:rsid w:val="0096569A"/>
    <w:rsid w:val="009A0769"/>
    <w:rsid w:val="00A121B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DA2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63398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2024-11-02T07:15:00Z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2024-11-02T07:15:00Z</dcterms:modified>
  <cp:revision>2</cp:revision>
</cp:coreProperties>
</file>