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rsidR="007A70E9" w:rsidRPr="00F46079" w:rsidRDefault="007A70E9" w:rsidP="007A70E9">
      <w:pPr>
        <w:ind w:hanging="10"/>
        <w:jc w:val="center"/>
        <w:rPr>
          <w:rFonts w:ascii="Arial" w:hAnsi="Arial" w:cs="Arial"/>
          <w:b/>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7A70E9">
      <w:pPr>
        <w:ind w:hanging="10"/>
        <w:jc w:val="center"/>
        <w:rPr>
          <w:rFonts w:ascii="Arial" w:hAnsi="Arial" w:cs="Arial"/>
          <w:sz w:val="24"/>
          <w:szCs w:val="24"/>
        </w:rPr>
      </w:pPr>
    </w:p>
    <w:p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4D1CB2">
        <w:rPr>
          <w:rFonts w:ascii="Arial" w:hAnsi="Arial" w:cs="Arial"/>
          <w:sz w:val="24"/>
          <w:szCs w:val="24"/>
        </w:rPr>
        <w:t>ТОМСКОГО ПОЛИТЕХНИЧЕСКОГО УНИВЕРСИТЕТА</w:t>
      </w:r>
      <w:r w:rsidRPr="00573191">
        <w:rPr>
          <w:rFonts w:ascii="Arial" w:hAnsi="Arial" w:cs="Arial"/>
          <w:sz w:val="24"/>
          <w:szCs w:val="24"/>
        </w:rPr>
        <w:t xml:space="preserve"> № 1 </w:t>
      </w:r>
    </w:p>
    <w:p w:rsidR="007A70E9" w:rsidRPr="00F46079" w:rsidRDefault="007A70E9" w:rsidP="007A70E9">
      <w:pPr>
        <w:ind w:right="77" w:hanging="10"/>
        <w:jc w:val="center"/>
        <w:rPr>
          <w:rFonts w:ascii="Arial" w:hAnsi="Arial" w:cs="Arial"/>
          <w:b/>
          <w:sz w:val="24"/>
          <w:szCs w:val="24"/>
        </w:rPr>
      </w:pPr>
    </w:p>
    <w:p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rsidTr="007A70E9">
        <w:tc>
          <w:tcPr>
            <w:tcW w:w="3114" w:type="dxa"/>
          </w:tcPr>
          <w:p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rsidTr="007A70E9">
        <w:tc>
          <w:tcPr>
            <w:tcW w:w="3114" w:type="dxa"/>
          </w:tcPr>
          <w:p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rsidR="007A70E9" w:rsidRPr="00F46079" w:rsidRDefault="007A70E9" w:rsidP="007A70E9">
      <w:pPr>
        <w:ind w:hanging="10"/>
        <w:jc w:val="center"/>
        <w:rPr>
          <w:rFonts w:ascii="Arial" w:hAnsi="Arial" w:cs="Arial"/>
          <w:sz w:val="24"/>
          <w:szCs w:val="24"/>
        </w:rPr>
      </w:pPr>
    </w:p>
    <w:p w:rsidR="007A70E9" w:rsidRPr="00F46079" w:rsidRDefault="007A70E9" w:rsidP="007A70E9">
      <w:pPr>
        <w:ind w:firstLine="567"/>
        <w:jc w:val="center"/>
        <w:rPr>
          <w:rFonts w:ascii="Arial" w:hAnsi="Arial" w:cs="Arial"/>
          <w:sz w:val="24"/>
          <w:szCs w:val="24"/>
        </w:rPr>
      </w:pPr>
    </w:p>
    <w:p w:rsidR="007A70E9" w:rsidRPr="00F46079" w:rsidRDefault="007A70E9" w:rsidP="007A70E9">
      <w:pPr>
        <w:ind w:firstLine="567"/>
        <w:jc w:val="center"/>
        <w:rPr>
          <w:rFonts w:ascii="Arial" w:hAnsi="Arial" w:cs="Arial"/>
          <w:sz w:val="24"/>
          <w:szCs w:val="24"/>
        </w:rPr>
      </w:pPr>
    </w:p>
    <w:p w:rsidR="007A70E9" w:rsidRPr="00F46079" w:rsidRDefault="007A70E9" w:rsidP="007A70E9">
      <w:pPr>
        <w:tabs>
          <w:tab w:val="left" w:pos="709"/>
        </w:tabs>
        <w:jc w:val="center"/>
        <w:rPr>
          <w:rFonts w:ascii="Arial" w:hAnsi="Arial" w:cs="Arial"/>
          <w:sz w:val="24"/>
          <w:szCs w:val="24"/>
        </w:rPr>
      </w:pPr>
    </w:p>
    <w:p w:rsidR="007A70E9" w:rsidRPr="00F46079" w:rsidRDefault="007A70E9" w:rsidP="007A70E9">
      <w:pPr>
        <w:tabs>
          <w:tab w:val="left" w:pos="709"/>
        </w:tabs>
        <w:jc w:val="center"/>
        <w:rPr>
          <w:rFonts w:ascii="Arial" w:hAnsi="Arial" w:cs="Arial"/>
          <w:sz w:val="24"/>
          <w:szCs w:val="24"/>
        </w:rPr>
      </w:pPr>
    </w:p>
    <w:p w:rsidR="007A70E9" w:rsidRPr="00F46079" w:rsidRDefault="007A70E9" w:rsidP="007A70E9">
      <w:pPr>
        <w:tabs>
          <w:tab w:val="left" w:pos="709"/>
        </w:tabs>
        <w:jc w:val="center"/>
        <w:rPr>
          <w:rFonts w:ascii="Arial" w:hAnsi="Arial" w:cs="Arial"/>
          <w:sz w:val="24"/>
          <w:szCs w:val="24"/>
        </w:rPr>
      </w:pPr>
    </w:p>
    <w:p w:rsidR="008F74C1" w:rsidRDefault="008F74C1" w:rsidP="007A70E9">
      <w:pPr>
        <w:tabs>
          <w:tab w:val="left" w:pos="709"/>
        </w:tabs>
        <w:jc w:val="center"/>
        <w:rPr>
          <w:rFonts w:ascii="Arial" w:hAnsi="Arial" w:cs="Arial"/>
          <w:sz w:val="24"/>
          <w:szCs w:val="24"/>
        </w:rPr>
      </w:pPr>
    </w:p>
    <w:p w:rsidR="008F74C1" w:rsidRDefault="008F74C1" w:rsidP="007A70E9">
      <w:pPr>
        <w:tabs>
          <w:tab w:val="left" w:pos="709"/>
        </w:tabs>
        <w:jc w:val="center"/>
        <w:rPr>
          <w:rFonts w:ascii="Arial" w:hAnsi="Arial" w:cs="Arial"/>
          <w:sz w:val="24"/>
          <w:szCs w:val="24"/>
        </w:rPr>
      </w:pPr>
    </w:p>
    <w:p w:rsidR="008F74C1" w:rsidRDefault="008F74C1" w:rsidP="007A70E9">
      <w:pPr>
        <w:tabs>
          <w:tab w:val="left" w:pos="709"/>
        </w:tabs>
        <w:jc w:val="center"/>
        <w:rPr>
          <w:rFonts w:ascii="Arial" w:hAnsi="Arial" w:cs="Arial"/>
          <w:sz w:val="24"/>
          <w:szCs w:val="24"/>
        </w:rPr>
      </w:pPr>
    </w:p>
    <w:p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rsidR="007A70E9" w:rsidRDefault="007A70E9" w:rsidP="007A70E9">
      <w:pPr>
        <w:tabs>
          <w:tab w:val="left" w:pos="709"/>
        </w:tabs>
        <w:jc w:val="center"/>
        <w:rPr>
          <w:rFonts w:ascii="Arial" w:hAnsi="Arial" w:cs="Arial"/>
          <w:sz w:val="24"/>
          <w:szCs w:val="24"/>
        </w:rPr>
      </w:pPr>
    </w:p>
    <w:p w:rsidR="00530D59" w:rsidRDefault="00530D59" w:rsidP="007A70E9">
      <w:pPr>
        <w:tabs>
          <w:tab w:val="left" w:pos="709"/>
        </w:tabs>
        <w:jc w:val="center"/>
        <w:rPr>
          <w:rFonts w:ascii="Arial" w:hAnsi="Arial" w:cs="Arial"/>
          <w:sz w:val="24"/>
          <w:szCs w:val="24"/>
        </w:rPr>
      </w:pPr>
    </w:p>
    <w:p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1</w:t>
      </w:r>
      <w:r>
        <w:rPr>
          <w:rFonts w:ascii="Arial" w:hAnsi="Arial" w:cs="Arial"/>
          <w:b w:val="0"/>
          <w:bCs w:val="0"/>
          <w:color w:val="auto"/>
          <w:sz w:val="24"/>
          <w:szCs w:val="24"/>
        </w:rPr>
        <w:t>, расположенного по адресу пр. Ленина, 45</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1 (далее - территорий и объектов Общежития ТПУ).</w:t>
      </w:r>
    </w:p>
    <w:p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rsidTr="007A70E9">
        <w:trPr>
          <w:trHeight w:hRule="exact" w:val="298"/>
        </w:trPr>
        <w:tc>
          <w:tcPr>
            <w:tcW w:w="280" w:type="pct"/>
            <w:tcBorders>
              <w:top w:val="single" w:sz="4" w:space="0" w:color="auto"/>
              <w:left w:val="single" w:sz="4" w:space="0" w:color="auto"/>
            </w:tcBorders>
            <w:shd w:val="clear" w:color="auto" w:fill="FFFFFF"/>
          </w:tcPr>
          <w:p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rsidTr="007A70E9">
        <w:trPr>
          <w:trHeight w:hRule="exact" w:val="293"/>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rsidTr="007A70E9">
        <w:trPr>
          <w:trHeight w:hRule="exact" w:val="293"/>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rsidTr="007A70E9">
        <w:trPr>
          <w:trHeight w:hRule="exact" w:val="29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rsidTr="007A70E9">
        <w:trPr>
          <w:trHeight w:hRule="exact" w:val="288"/>
        </w:trPr>
        <w:tc>
          <w:tcPr>
            <w:tcW w:w="280" w:type="pct"/>
            <w:tcBorders>
              <w:top w:val="single" w:sz="4" w:space="0" w:color="auto"/>
              <w:left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знать и строго соблюдать требования нормативных правовых актов по пожарной безопасности (ППР, ведомственные приказы, настоящую Инструкцию, </w:t>
      </w:r>
      <w:r w:rsidRPr="00620053">
        <w:rPr>
          <w:rFonts w:ascii="Arial" w:eastAsiaTheme="majorEastAsia" w:hAnsi="Arial" w:cs="Arial"/>
          <w:sz w:val="24"/>
          <w:szCs w:val="24"/>
        </w:rPr>
        <w:lastRenderedPageBreak/>
        <w:t>Порядок обучения мерам пожарной безопасности в ТПУ, и др.);</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r>
        <w:rPr>
          <w:rFonts w:ascii="Arial" w:hAnsi="Arial" w:cs="Arial"/>
          <w:b w:val="0"/>
          <w:bCs w:val="0"/>
          <w:color w:val="auto"/>
          <w:sz w:val="24"/>
          <w:szCs w:val="24"/>
        </w:rPr>
        <w:t>В</w:t>
      </w:r>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lastRenderedPageBreak/>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 работниками, выполняющими новую для них работу;</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Повторный противопожарный инструктаж: </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 xml:space="preserve">1.16 За нарушение требований пожарной безопасности, а также за иные </w:t>
      </w:r>
      <w:r w:rsidRPr="00620053">
        <w:rPr>
          <w:rFonts w:ascii="Arial" w:eastAsiaTheme="majorEastAsia" w:hAnsi="Arial" w:cs="Arial"/>
          <w:bCs/>
          <w:sz w:val="24"/>
          <w:szCs w:val="24"/>
        </w:rPr>
        <w:lastRenderedPageBreak/>
        <w:t>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0"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0"/>
    </w:p>
    <w:p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2.2 Помещения в зданиях и сооружениях Общежития ТПУ относятся к следующим классам функциональной пожарной опасности:</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венткамеры, электрощитовые,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1" w:name="bookmark4"/>
    </w:p>
    <w:p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2" w:name="bookmark5"/>
      <w:bookmarkEnd w:id="1"/>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2"/>
    </w:p>
    <w:p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(ая) Общежития ТПУ;</w:t>
      </w:r>
    </w:p>
    <w:p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(ая) Общежитием ТПУ;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(ая) Общежития ТПУ;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3.11 За осуществление общего руководства по эвакуации и тушению пожара (с учетом специфических особенностей объекта защиты) до прибытия подразделения пожарной охраны - заведующий (ая) Общежития ТПУ;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(ая) Общежития ТПУ;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(ая) Общежития ТПУ и работники охранного предприятия (охранник);</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(ая) Общежития ТПУ и охранник, работники ИТУ;</w:t>
      </w:r>
    </w:p>
    <w:p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w:t>
      </w:r>
      <w:r w:rsidR="0060367C">
        <w:rPr>
          <w:rStyle w:val="32"/>
          <w:rFonts w:ascii="Arial" w:eastAsia="Tahoma" w:hAnsi="Arial" w:cs="Arial"/>
          <w:sz w:val="24"/>
          <w:szCs w:val="24"/>
        </w:rPr>
        <w:t xml:space="preserve">одразделений пожарной охраны Общежития </w:t>
      </w:r>
      <w:r w:rsidRPr="00620053">
        <w:rPr>
          <w:rStyle w:val="32"/>
          <w:rFonts w:ascii="Arial" w:eastAsia="Tahoma" w:hAnsi="Arial" w:cs="Arial"/>
          <w:sz w:val="24"/>
          <w:szCs w:val="24"/>
        </w:rPr>
        <w:t>ТПУ</w:t>
      </w:r>
    </w:p>
    <w:p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3" w:name="bookmark7"/>
    </w:p>
    <w:p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 xml:space="preserve">4.1 Порядок содержания и эксплуатации территории, прилегающей к </w:t>
      </w:r>
      <w:r w:rsidR="0060367C">
        <w:rPr>
          <w:rStyle w:val="44"/>
          <w:rFonts w:ascii="Arial" w:eastAsiaTheme="minorEastAsia" w:hAnsi="Arial" w:cs="Arial"/>
          <w:b w:val="0"/>
          <w:sz w:val="24"/>
          <w:szCs w:val="24"/>
        </w:rPr>
        <w:t xml:space="preserve">Общежитию </w:t>
      </w:r>
      <w:r w:rsidRPr="008F74C1">
        <w:rPr>
          <w:rStyle w:val="44"/>
          <w:rFonts w:ascii="Arial" w:eastAsiaTheme="minorEastAsia" w:hAnsi="Arial" w:cs="Arial"/>
          <w:b w:val="0"/>
          <w:sz w:val="24"/>
          <w:szCs w:val="24"/>
        </w:rPr>
        <w:t>ТПУ</w:t>
      </w:r>
      <w:bookmarkEnd w:id="3"/>
      <w:r w:rsidRPr="008F74C1">
        <w:rPr>
          <w:rStyle w:val="44"/>
          <w:rFonts w:ascii="Arial" w:eastAsiaTheme="minorEastAsia" w:hAnsi="Arial" w:cs="Arial"/>
          <w:b w:val="0"/>
          <w:sz w:val="24"/>
          <w:szCs w:val="24"/>
        </w:rPr>
        <w:t>.</w:t>
      </w:r>
    </w:p>
    <w:p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 Территория </w:t>
      </w:r>
      <w:r w:rsidR="0060367C">
        <w:rPr>
          <w:rStyle w:val="24"/>
          <w:rFonts w:ascii="Arial" w:eastAsiaTheme="minorEastAsia" w:hAnsi="Arial" w:cs="Arial"/>
        </w:rPr>
        <w:t>Общежития</w:t>
      </w:r>
      <w:r w:rsidRPr="00620053">
        <w:rPr>
          <w:rStyle w:val="24"/>
          <w:rFonts w:ascii="Arial" w:eastAsiaTheme="minorEastAsia" w:hAnsi="Arial" w:cs="Arial"/>
        </w:rPr>
        <w:t xml:space="preserve"> ТПУ должна содержаться в надлежащей чистоте. Ко всем зданиям, сооружениям и строениям должен быть обеспечен свободный доступ (подъезд).</w:t>
      </w:r>
    </w:p>
    <w:p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4.1.2 На территории в пределах противопожарных расстояний между объектами, необходимо производить регулярную уборку мусора (горючих отходов, </w:t>
      </w:r>
      <w:r w:rsidRPr="00620053">
        <w:rPr>
          <w:rStyle w:val="24"/>
          <w:rFonts w:ascii="Arial" w:eastAsiaTheme="minorEastAsia" w:hAnsi="Arial" w:cs="Arial"/>
        </w:rPr>
        <w:lastRenderedPageBreak/>
        <w:t>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4.1.3 На территории </w:t>
      </w:r>
      <w:r w:rsidR="0060367C">
        <w:rPr>
          <w:rStyle w:val="24"/>
          <w:rFonts w:ascii="Arial" w:eastAsiaTheme="minorEastAsia" w:hAnsi="Arial" w:cs="Arial"/>
        </w:rPr>
        <w:t>Общежития</w:t>
      </w:r>
      <w:bookmarkStart w:id="4" w:name="_GoBack"/>
      <w:bookmarkEnd w:id="4"/>
      <w:r w:rsidRPr="00620053">
        <w:rPr>
          <w:rStyle w:val="24"/>
          <w:rFonts w:ascii="Arial" w:eastAsiaTheme="minorEastAsia" w:hAnsi="Arial" w:cs="Arial"/>
        </w:rPr>
        <w:t xml:space="preserve"> ТПУ запрещается:</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складирования материалов, мусора, травы и иных отходов, оборудования и тары;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4.1.8 Территория Общежития ТПУ должна иметь наружное освещение, достаточное для быстрого нахождения противопожарных водоисточников, наружных пожарных лестниц, входов в здания и сооружения.</w:t>
      </w:r>
    </w:p>
    <w:p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w:t>
      </w:r>
      <w:r w:rsidRPr="00620053">
        <w:rPr>
          <w:rStyle w:val="24"/>
          <w:rFonts w:ascii="Arial" w:eastAsiaTheme="minorEastAsia" w:hAnsi="Arial" w:cs="Arial"/>
        </w:rPr>
        <w:lastRenderedPageBreak/>
        <w:t>Общежития ТПУ, либо снижающими размеры проездов, подъездов, установленные требованиями пожарной безопасности.</w:t>
      </w:r>
    </w:p>
    <w:p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4.1.12 В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по тел. 01, 101).</w:t>
      </w:r>
    </w:p>
    <w:p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w:t>
      </w:r>
      <w:r w:rsidRPr="00620053">
        <w:rPr>
          <w:rStyle w:val="24"/>
          <w:rFonts w:ascii="Arial" w:eastAsiaTheme="minorEastAsia" w:hAnsi="Arial" w:cs="Arial"/>
        </w:rPr>
        <w:lastRenderedPageBreak/>
        <w:t>вывешиваются планы эвакуации на случай пожара.</w:t>
      </w:r>
    </w:p>
    <w:p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(противодымная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4.2.4 В зданиях, сооружениях и помещениях Общежития ТПУ запрещено:</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подвальные и цокольные этажи для организации работы и 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одственные и складские помещения для применения и хранения пожаровзрывоопасных и пожароопасных веществ и материалов, если это не предусмотрено проектной документацией, а также изменять их функциональное назначение;</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устанавливать глухие решетки на окнах и приямках у окон подвалов, являющихся аварийными выходами, за исключением случаев, специально </w:t>
      </w:r>
      <w:r w:rsidRPr="00620053">
        <w:rPr>
          <w:rStyle w:val="24"/>
          <w:rFonts w:ascii="Arial" w:eastAsiaTheme="minorEastAsia" w:hAnsi="Arial" w:cs="Arial"/>
        </w:rPr>
        <w:lastRenderedPageBreak/>
        <w:t>предусмотренных в нормативных правовых актах Российской Федерации и нормативных документах по пожарной безопасности;</w:t>
      </w:r>
    </w:p>
    <w:p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оставлять без присмотра включенными в электрическую сеть </w:t>
      </w:r>
      <w:r w:rsidRPr="00620053">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4.2.5 В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«Курение запрещено» должны быть размещены у каждого входа в здание, а также в местах общего пользования, в том числе туалетах.</w:t>
      </w:r>
    </w:p>
    <w:p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4.2.8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w:t>
      </w:r>
      <w:r w:rsidRPr="00620053">
        <w:rPr>
          <w:rStyle w:val="24"/>
          <w:rFonts w:ascii="Arial" w:eastAsiaTheme="minorEastAsia" w:hAnsi="Arial" w:cs="Arial"/>
        </w:rPr>
        <w:lastRenderedPageBreak/>
        <w:t>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4.2.17 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дымогазонепроницаемость.</w:t>
      </w:r>
    </w:p>
    <w:p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4.2.19 В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w:t>
      </w:r>
      <w:r w:rsidRPr="00620053">
        <w:rPr>
          <w:rStyle w:val="24"/>
          <w:rFonts w:ascii="Arial" w:eastAsiaTheme="minorEastAsia" w:hAnsi="Arial" w:cs="Arial"/>
        </w:rPr>
        <w:lastRenderedPageBreak/>
        <w:t>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4.2.23 Клапана мусоропроводов и бельепроводов должны быть исправны, находиться в закрытом положении и иметь уплотнение в притворе.</w:t>
      </w:r>
    </w:p>
    <w:p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должно обеспечиваться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w:t>
      </w:r>
    </w:p>
    <w:p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4.2.26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rsidR="007A70E9" w:rsidRPr="00620053" w:rsidRDefault="007A70E9" w:rsidP="00D074D3">
      <w:pPr>
        <w:tabs>
          <w:tab w:val="left" w:pos="709"/>
        </w:tabs>
        <w:spacing w:after="0" w:line="240" w:lineRule="auto"/>
        <w:jc w:val="both"/>
        <w:rPr>
          <w:rFonts w:ascii="Arial" w:hAnsi="Arial" w:cs="Arial"/>
          <w:sz w:val="24"/>
          <w:szCs w:val="24"/>
        </w:rPr>
      </w:pPr>
    </w:p>
    <w:p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w:t>
      </w:r>
      <w:r w:rsidRPr="00620053">
        <w:rPr>
          <w:rStyle w:val="24"/>
          <w:rFonts w:ascii="Arial" w:eastAsiaTheme="minorEastAsia" w:hAnsi="Arial" w:cs="Arial"/>
        </w:rPr>
        <w:lastRenderedPageBreak/>
        <w:t>безопасности».</w:t>
      </w:r>
    </w:p>
    <w:p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w:t>
      </w:r>
    </w:p>
    <w:p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5.5 Не допускается устанавливать приспособления, препятствующие нормальному закрыванию противопожарных или противодымных дверей (устройств).</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5.9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5.11 Светильники аварийного освещения должны отличаться от светильников рабочего освещения знаками или окраской.</w:t>
      </w:r>
    </w:p>
    <w:p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5.12 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5.15 Приспособлениями для самозакрывания и уплотнением в притворах должны быть оборудованы:</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двери эвакуационных выходов, в том числе ведущие из подвала на первый </w:t>
      </w:r>
      <w:r w:rsidRPr="00620053">
        <w:rPr>
          <w:rStyle w:val="24"/>
          <w:rFonts w:ascii="Arial" w:eastAsiaTheme="minorEastAsia" w:hAnsi="Arial" w:cs="Arial"/>
        </w:rPr>
        <w:lastRenderedPageBreak/>
        <w:t>этаж (за исключением дверей, ведущих в коридоры, вестибюли (фойе) и непосредственно наружу).</w:t>
      </w:r>
    </w:p>
    <w:p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механизмы для самозакрывания дверей и уплотнение в притворах;</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«антипаника», замки;</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6.1.1 В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6.2 Мероприятия по обеспечению пожарной безопасности технологических процессов при эксплуатации производственного оборудования.</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w:t>
      </w:r>
      <w:r w:rsidRPr="008F74C1">
        <w:rPr>
          <w:rStyle w:val="24"/>
          <w:rFonts w:ascii="Arial" w:eastAsiaTheme="minorEastAsia" w:hAnsi="Arial" w:cs="Arial"/>
        </w:rPr>
        <w:lastRenderedPageBreak/>
        <w:t>эксплуатирующим данное оборудование.</w:t>
      </w:r>
    </w:p>
    <w:p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6.2.5 При работе с пожароопасными и пожаровзрывоопасными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а также устройства молниезащиты, устанавливаемые на технологическом оборудовании должны содержаться в исправном состоянии.</w:t>
      </w:r>
    </w:p>
    <w:p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6.3.1 Электрические сети и электрооборудование,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p>
    <w:p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lastRenderedPageBreak/>
        <w:t>- пользоваться розетками, ответвительными коробками, рубильниками и другими электроустановочными изделиями с повреждениями;</w:t>
      </w:r>
    </w:p>
    <w:p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закреплять различные предметы и вещи на штепсельные розетки, интернет кабеля, электро-выключатели, электропровода, пожарные извещатели (датчики) и т. д.</w:t>
      </w:r>
    </w:p>
    <w:p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оконцевание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w:t>
      </w:r>
      <w:r w:rsidRPr="008F74C1">
        <w:rPr>
          <w:rStyle w:val="24"/>
          <w:rFonts w:ascii="Arial" w:eastAsiaTheme="minorEastAsia" w:hAnsi="Arial" w:cs="Arial"/>
        </w:rPr>
        <w:lastRenderedPageBreak/>
        <w:t>утвержденными в установленном порядке. В местах соединения и ответвления провода и кабели не должны испытывать механических усилий тяжения. Места соединения и ответвления и жил проводов и кабелей, а также соединительные и ответвительные сжимы и т. п. должны иметь изоляцию, равноценную изоляции жил целых мест этих проводов и кабелей.</w:t>
      </w:r>
    </w:p>
    <w:p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электрогирлянды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зануления, режима работы электродвигателей.</w:t>
      </w:r>
    </w:p>
    <w:p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-визуально провести проверку целостности подводящих кабелей питания, электророзеток, штекеров, устройств заземления;</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lastRenderedPageBreak/>
        <w:t>- не перемещать рядом с тепловым электрооборудованием легковоспламеняющиеся и горючие вещества (жидкости) с целью предотвращения возгорания;</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огнезадерживающих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6.5.2 Вентиляционные камеры, циклоны,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взрывопожаробезопасными способами.</w:t>
      </w:r>
    </w:p>
    <w:p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lastRenderedPageBreak/>
        <w:t>- закрывать вытяжные каналы, отверстия и решетки;</w:t>
      </w:r>
    </w:p>
    <w:p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6.6.1 Запрещается проводить огневые, покрасочные и другие пожароопасные и пожаровзрывоопасные работы во время проведения мероприятий с массовым пребыванием людей.</w:t>
      </w:r>
    </w:p>
    <w:p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6.6.5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 xml:space="preserve">ред проведением огневых работ провентилировать помещения, в которых возможно скопление паров легковоспламеняющихся и горючих жидкостей </w:t>
      </w:r>
      <w:r w:rsidRPr="008F74C1">
        <w:rPr>
          <w:rFonts w:ascii="Arial" w:hAnsi="Arial" w:cs="Arial"/>
          <w:sz w:val="24"/>
          <w:szCs w:val="24"/>
        </w:rPr>
        <w:lastRenderedPageBreak/>
        <w:t>(красок, лаков);</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применять электроды, изготовленные в заводских условиях, </w:t>
      </w:r>
      <w:r w:rsidRPr="008F74C1">
        <w:rPr>
          <w:rStyle w:val="24"/>
          <w:rFonts w:ascii="Arial" w:eastAsiaTheme="minorEastAsia" w:hAnsi="Arial" w:cs="Arial"/>
        </w:rPr>
        <w:lastRenderedPageBreak/>
        <w:t>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Порядок и нормы хранения и транспортировки пожаровзрывоопасных и других веществ и материалов</w:t>
      </w:r>
      <w:bookmarkEnd w:id="11"/>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8.1 Запрещается оставлять по окончании рабочего времени не обесточенными (не отключёнными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произвести уборку помещений от горючего мусора и отходов;</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отсутствие в помещении легковоспламеняющихся жидкостей, </w:t>
      </w:r>
      <w:r w:rsidRPr="00620053">
        <w:rPr>
          <w:rStyle w:val="24"/>
          <w:rFonts w:ascii="Arial" w:eastAsiaTheme="minorEastAsia" w:hAnsi="Arial" w:cs="Arial"/>
        </w:rPr>
        <w:lastRenderedPageBreak/>
        <w:t>горючих жидкостей и веществ, баллонов с горючими газами;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двери, входящие в противодымную защиту здания (двери лифтовых холлов, лестничных клеток, межкоридорные двери), на предмет их эксплуатации в закрытом состоянии с исправными устройствами для самозакрывания;</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8.3 В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r w:rsidRPr="00620053">
        <w:rPr>
          <w:rStyle w:val="24"/>
          <w:rFonts w:ascii="Arial" w:eastAsiaTheme="minorEastAsia" w:hAnsi="Arial" w:cs="Arial"/>
        </w:rPr>
        <w:t xml:space="preserve">В складских помещениях ТПУ не допускается хранение пожаровзрывоопасных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11.3 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w:t>
      </w:r>
      <w:r w:rsidRPr="00620053">
        <w:rPr>
          <w:rStyle w:val="24"/>
          <w:rFonts w:ascii="Arial" w:eastAsiaTheme="minorEastAsia" w:hAnsi="Arial" w:cs="Arial"/>
        </w:rPr>
        <w:lastRenderedPageBreak/>
        <w:t>автоматики. Все обнаруженные недостатки должны быть устранены до начала мероприятия.</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12.2 На время проведения мероприятия с массовым пребыванием людей должно быть обеспечено дежурство работников Общежития ТПУ в данном помещении.</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12.3 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перед началом или во время представления огневые, покрасочные и другие пожароопасные и пожаровзрывоопасные работы;</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w:t>
      </w:r>
      <w:r w:rsidRPr="00620053">
        <w:rPr>
          <w:rStyle w:val="24"/>
          <w:rFonts w:ascii="Arial" w:eastAsiaTheme="minorEastAsia" w:hAnsi="Arial" w:cs="Arial"/>
        </w:rPr>
        <w:lastRenderedPageBreak/>
        <w:t>одновременно находящихся в нем людей.</w:t>
      </w:r>
    </w:p>
    <w:p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14.1 В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извещатель АУПС;</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w:t>
      </w:r>
      <w:r w:rsidRPr="00620053">
        <w:rPr>
          <w:rStyle w:val="24"/>
          <w:rFonts w:ascii="Arial" w:eastAsiaTheme="minorEastAsia" w:hAnsi="Arial" w:cs="Arial"/>
        </w:rPr>
        <w:lastRenderedPageBreak/>
        <w:t>пожара и задымления помещений здания, о путях и возможности доступа к месту возгорания, о ближайших водоисточниках,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оповестить людей о пожаре, задействовать систему оповещения о пожаре (путем нажатия ручного пожарного извещателя);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при тушении пожара необходимо следить, чтобы огнем не были отрезаны выходы из помещения (здания);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14.5 В теплое время года, эвакуируемые размещаются на безопасных площадках, расположенных на расстоянии не менее 15 метров от Общежития ТПУ.</w:t>
      </w:r>
    </w:p>
    <w:p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14.6 В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rsidTr="00B25D06">
        <w:trPr>
          <w:trHeight w:hRule="exact" w:val="302"/>
          <w:jc w:val="center"/>
        </w:trPr>
        <w:tc>
          <w:tcPr>
            <w:tcW w:w="3853" w:type="dxa"/>
            <w:vMerge w:val="restart"/>
            <w:tcBorders>
              <w:top w:val="single" w:sz="4" w:space="0" w:color="auto"/>
              <w:left w:val="single" w:sz="4" w:space="0" w:color="auto"/>
            </w:tcBorders>
            <w:shd w:val="clear" w:color="auto" w:fill="FFFFFF"/>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rsidTr="00B25D06">
        <w:trPr>
          <w:trHeight w:hRule="exact" w:val="288"/>
          <w:jc w:val="center"/>
        </w:trPr>
        <w:tc>
          <w:tcPr>
            <w:tcW w:w="3853" w:type="dxa"/>
            <w:vMerge/>
            <w:tcBorders>
              <w:left w:val="single" w:sz="4" w:space="0" w:color="auto"/>
            </w:tcBorders>
            <w:shd w:val="clear" w:color="auto" w:fill="FFFFFF"/>
          </w:tcPr>
          <w:p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rsidR="007A70E9" w:rsidRPr="00620053" w:rsidRDefault="007A70E9" w:rsidP="007A70E9">
            <w:pPr>
              <w:tabs>
                <w:tab w:val="left" w:pos="709"/>
              </w:tabs>
              <w:spacing w:after="0" w:line="240" w:lineRule="auto"/>
              <w:rPr>
                <w:rFonts w:ascii="Arial" w:hAnsi="Arial" w:cs="Arial"/>
                <w:sz w:val="24"/>
                <w:szCs w:val="24"/>
              </w:rPr>
            </w:pPr>
            <w:r w:rsidRPr="00620053">
              <w:rPr>
                <w:rFonts w:ascii="Arial" w:hAnsi="Arial" w:cs="Arial"/>
                <w:sz w:val="24"/>
                <w:szCs w:val="24"/>
              </w:rPr>
              <w:t>Общежитие ТПУ №1</w:t>
            </w:r>
          </w:p>
        </w:tc>
        <w:tc>
          <w:tcPr>
            <w:tcW w:w="3084" w:type="dxa"/>
            <w:tcBorders>
              <w:top w:val="single" w:sz="4" w:space="0" w:color="auto"/>
              <w:left w:val="single" w:sz="4" w:space="0" w:color="auto"/>
              <w:bottom w:val="single" w:sz="4" w:space="0" w:color="auto"/>
            </w:tcBorders>
            <w:shd w:val="clear" w:color="auto" w:fill="FFFFFF"/>
            <w:vAlign w:val="bottom"/>
          </w:tcPr>
          <w:p w:rsidR="007A70E9" w:rsidRPr="00620053" w:rsidRDefault="007A70E9" w:rsidP="007A70E9">
            <w:pPr>
              <w:tabs>
                <w:tab w:val="left" w:pos="709"/>
              </w:tabs>
              <w:spacing w:after="0" w:line="240" w:lineRule="auto"/>
              <w:rPr>
                <w:rFonts w:ascii="Arial" w:hAnsi="Arial" w:cs="Arial"/>
                <w:sz w:val="24"/>
                <w:szCs w:val="24"/>
              </w:rPr>
            </w:pPr>
            <w:r w:rsidRPr="00620053">
              <w:rPr>
                <w:rFonts w:ascii="Arial" w:hAnsi="Arial" w:cs="Arial"/>
                <w:sz w:val="24"/>
                <w:szCs w:val="24"/>
              </w:rPr>
              <w:t>Общежитие ТПУ №2</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7A70E9" w:rsidRPr="00620053" w:rsidRDefault="007A70E9" w:rsidP="007A70E9">
            <w:pPr>
              <w:tabs>
                <w:tab w:val="left" w:pos="709"/>
              </w:tabs>
              <w:spacing w:after="0" w:line="240" w:lineRule="auto"/>
              <w:rPr>
                <w:rFonts w:ascii="Arial" w:hAnsi="Arial" w:cs="Arial"/>
                <w:sz w:val="24"/>
                <w:szCs w:val="24"/>
              </w:rPr>
            </w:pPr>
            <w:r w:rsidRPr="00620053">
              <w:rPr>
                <w:rFonts w:ascii="Arial" w:hAnsi="Arial" w:cs="Arial"/>
                <w:sz w:val="24"/>
                <w:szCs w:val="24"/>
              </w:rPr>
              <w:t>пр. Кирова,4</w:t>
            </w:r>
          </w:p>
        </w:tc>
      </w:tr>
    </w:tbl>
    <w:p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ТПУ и в сведениях об обстановке на объектах ТПУ за сутки.</w:t>
      </w:r>
    </w:p>
    <w:p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15.14 В ходе проведения внешнего осмотра контролируется: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w:t>
      </w:r>
      <w:r w:rsidRPr="00620053">
        <w:rPr>
          <w:rStyle w:val="24"/>
          <w:rFonts w:ascii="Arial" w:eastAsiaTheme="minorEastAsia" w:hAnsi="Arial" w:cs="Arial"/>
        </w:rPr>
        <w:lastRenderedPageBreak/>
        <w:t>опломбировано.</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15.19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15.26 В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15.28 Здания и сооружения производственного и складского назначения площадью более 500 кв. метров дополнительно оснащаются передвижными </w:t>
      </w:r>
      <w:r w:rsidRPr="00620053">
        <w:rPr>
          <w:rStyle w:val="24"/>
          <w:rFonts w:ascii="Arial" w:eastAsiaTheme="minorEastAsia" w:hAnsi="Arial" w:cs="Arial"/>
        </w:rPr>
        <w:lastRenderedPageBreak/>
        <w:t>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15.38 Пожарные краны внутреннего противопожарного водопровода должны быть укомплектованы исправными пожарными рукавами, ручными пожарными </w:t>
      </w:r>
      <w:r w:rsidRPr="00620053">
        <w:rPr>
          <w:rStyle w:val="24"/>
          <w:rFonts w:ascii="Arial" w:eastAsiaTheme="minorEastAsia" w:hAnsi="Arial" w:cs="Arial"/>
        </w:rPr>
        <w:lastRenderedPageBreak/>
        <w:t>стволами и пожарными запорными клапанами.</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поворотом маховика клапана открыть воду и приступить к ликвидации возгорания;</w:t>
      </w:r>
    </w:p>
    <w:p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15.44 В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lastRenderedPageBreak/>
        <w:t>16 Ответственность за нарушение требований пожарной безопасности</w:t>
      </w:r>
      <w:bookmarkEnd w:id="20"/>
    </w:p>
    <w:p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802067" w:rsidRDefault="00802067"/>
    <w:sectPr w:rsidR="00802067" w:rsidSect="004D1CB2">
      <w:headerReference w:type="default" r:id="rId7"/>
      <w:footerReference w:type="default" r:id="rId8"/>
      <w:footerReference w:type="first" r:id="rId9"/>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8C" w:rsidRDefault="0013018C" w:rsidP="00573191">
      <w:pPr>
        <w:spacing w:after="0" w:line="240" w:lineRule="auto"/>
      </w:pPr>
      <w:r>
        <w:separator/>
      </w:r>
    </w:p>
  </w:endnote>
  <w:endnote w:type="continuationSeparator" w:id="0">
    <w:p w:rsidR="0013018C" w:rsidRDefault="0013018C"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4"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8C" w:rsidRDefault="0013018C" w:rsidP="00573191">
      <w:pPr>
        <w:spacing w:after="0" w:line="240" w:lineRule="auto"/>
      </w:pPr>
      <w:r>
        <w:separator/>
      </w:r>
    </w:p>
  </w:footnote>
  <w:footnote w:type="continuationSeparator" w:id="0">
    <w:p w:rsidR="0013018C" w:rsidRDefault="0013018C"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406240" w:rsidRPr="00573191" w:rsidTr="00662421">
      <w:trPr>
        <w:trHeight w:val="619"/>
      </w:trPr>
      <w:tc>
        <w:tcPr>
          <w:tcW w:w="762" w:type="pct"/>
          <w:vMerge w:val="restart"/>
          <w:tcBorders>
            <w:top w:val="single" w:sz="4" w:space="0" w:color="auto"/>
            <w:right w:val="single" w:sz="4" w:space="0" w:color="auto"/>
          </w:tcBorders>
        </w:tcPr>
        <w:p w:rsidR="00406240" w:rsidRPr="00573191" w:rsidRDefault="00406240"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406240" w:rsidRPr="00573191" w:rsidRDefault="00406240"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406240" w:rsidRPr="00573191" w:rsidRDefault="00406240" w:rsidP="00563CB1">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зданиях и помещениях общежития Томского политехнического университета №1</w:t>
          </w:r>
        </w:p>
      </w:tc>
    </w:tr>
    <w:tr w:rsidR="00406240" w:rsidRPr="00573191" w:rsidTr="00662421">
      <w:trPr>
        <w:trHeight w:val="184"/>
      </w:trPr>
      <w:tc>
        <w:tcPr>
          <w:tcW w:w="762" w:type="pct"/>
          <w:vMerge/>
          <w:tcBorders>
            <w:right w:val="single" w:sz="4" w:space="0" w:color="auto"/>
          </w:tcBorders>
        </w:tcPr>
        <w:p w:rsidR="00406240" w:rsidRPr="00573191" w:rsidRDefault="00406240"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rsidR="00406240" w:rsidRPr="00573191" w:rsidRDefault="00406240"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60367C">
            <w:rPr>
              <w:rFonts w:ascii="Arial" w:eastAsia="Times New Roman" w:hAnsi="Arial" w:cs="Arial"/>
              <w:noProof/>
              <w:sz w:val="20"/>
              <w:szCs w:val="20"/>
              <w:lang w:eastAsia="ru-RU"/>
            </w:rPr>
            <w:t>2</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60367C">
            <w:rPr>
              <w:rFonts w:ascii="Arial" w:eastAsia="Times New Roman" w:hAnsi="Arial" w:cs="Arial"/>
              <w:noProof/>
              <w:sz w:val="20"/>
              <w:szCs w:val="20"/>
              <w:lang w:eastAsia="ru-RU"/>
            </w:rPr>
            <w:t>35</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rsidR="00406240" w:rsidRPr="00573191" w:rsidRDefault="00406240" w:rsidP="00573191">
          <w:pPr>
            <w:spacing w:after="0" w:line="240" w:lineRule="auto"/>
            <w:jc w:val="center"/>
            <w:rPr>
              <w:rFonts w:ascii="Arial" w:eastAsia="Times New Roman" w:hAnsi="Arial" w:cs="Arial"/>
              <w:bCs/>
              <w:color w:val="000000"/>
              <w:sz w:val="20"/>
              <w:szCs w:val="20"/>
              <w:lang w:eastAsia="ru-RU"/>
            </w:rPr>
          </w:pPr>
        </w:p>
      </w:tc>
    </w:tr>
  </w:tbl>
  <w:p w:rsidR="00406240" w:rsidRDefault="004062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A7706"/>
    <w:rsid w:val="0013018C"/>
    <w:rsid w:val="001849C6"/>
    <w:rsid w:val="001F2F66"/>
    <w:rsid w:val="003B516B"/>
    <w:rsid w:val="00404E32"/>
    <w:rsid w:val="00406240"/>
    <w:rsid w:val="004D1CB2"/>
    <w:rsid w:val="00530D59"/>
    <w:rsid w:val="00563CB1"/>
    <w:rsid w:val="00573191"/>
    <w:rsid w:val="0060367C"/>
    <w:rsid w:val="00662421"/>
    <w:rsid w:val="0067529D"/>
    <w:rsid w:val="007A70E9"/>
    <w:rsid w:val="00802067"/>
    <w:rsid w:val="008F74C1"/>
    <w:rsid w:val="00920F65"/>
    <w:rsid w:val="009475CF"/>
    <w:rsid w:val="009F7ADA"/>
    <w:rsid w:val="00A81DC3"/>
    <w:rsid w:val="00AC48C6"/>
    <w:rsid w:val="00B25D06"/>
    <w:rsid w:val="00C60DED"/>
    <w:rsid w:val="00CF0CC8"/>
    <w:rsid w:val="00D074D3"/>
    <w:rsid w:val="00E559D1"/>
    <w:rsid w:val="00EA3821"/>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EEFC"/>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12"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14005</Words>
  <Characters>79833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2023-09-06T08:01:00Z</dcterms:created>
  <dc:creator>Околелова Татьяна Александровна</dc:creator>
  <cp:lastModifiedBy>Околелова Татьяна Александровна</cp:lastModifiedBy>
  <dcterms:modified xsi:type="dcterms:W3CDTF">2023-09-06T08:01:00Z</dcterms:modified>
  <cp:revision>2</cp:revision>
</cp:coreProperties>
</file>